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cs="Arial"/>
          <w:bCs/>
          <w:sz w:val="22"/>
          <w:szCs w:val="22"/>
          <w:lang w:eastAsia="zh-CN"/>
        </w:rPr>
      </w:pPr>
      <w:bookmarkStart w:id="0" w:name="OLE_LINK1"/>
      <w:bookmarkStart w:id="1" w:name="_Hlk533328020"/>
      <w:r>
        <w:rPr>
          <w:rFonts w:cs="Arial"/>
          <w:bCs/>
          <w:sz w:val="22"/>
          <w:szCs w:val="22"/>
          <w:lang w:eastAsia="zh-CN"/>
        </w:rPr>
        <w:t>3GPP TSG RAN WG1 #10</w:t>
      </w:r>
      <w:r>
        <w:rPr>
          <w:rFonts w:hint="eastAsia" w:cs="Arial"/>
          <w:bCs/>
          <w:sz w:val="22"/>
          <w:szCs w:val="22"/>
          <w:lang w:val="en-US" w:eastAsia="zh-CN"/>
        </w:rPr>
        <w:t>2-e</w:t>
      </w:r>
      <w:r>
        <w:rPr>
          <w:rFonts w:hint="eastAsia" w:cs="Arial"/>
          <w:bCs/>
          <w:sz w:val="22"/>
          <w:szCs w:val="22"/>
          <w:lang w:eastAsia="zh-CN"/>
        </w:rPr>
        <w:t xml:space="preserve">                                                                                 R1-2005430</w:t>
      </w:r>
    </w:p>
    <w:p>
      <w:pPr>
        <w:pStyle w:val="21"/>
        <w:tabs>
          <w:tab w:val="right" w:pos="8280"/>
          <w:tab w:val="right" w:pos="9781"/>
        </w:tabs>
        <w:snapToGrid w:val="0"/>
        <w:spacing w:after="360" w:afterLines="100" w:line="240" w:lineRule="auto"/>
        <w:ind w:right="-57"/>
        <w:rPr>
          <w:rFonts w:cs="Arial"/>
          <w:bCs/>
          <w:sz w:val="22"/>
          <w:szCs w:val="22"/>
          <w:lang w:eastAsia="ja-JP"/>
        </w:rPr>
      </w:pPr>
      <w:r>
        <w:rPr>
          <w:rFonts w:eastAsia="Times New Roman" w:cs="Arial"/>
          <w:bCs/>
          <w:sz w:val="22"/>
          <w:szCs w:val="22"/>
          <w:lang w:eastAsia="ja-JP"/>
        </w:rPr>
        <w:t>e-Meeting, August 17</w:t>
      </w:r>
      <w:r>
        <w:rPr>
          <w:rFonts w:eastAsia="Times New Roman" w:cs="Arial"/>
          <w:bCs/>
          <w:sz w:val="22"/>
          <w:szCs w:val="22"/>
          <w:vertAlign w:val="superscript"/>
          <w:lang w:eastAsia="ja-JP"/>
        </w:rPr>
        <w:t>th</w:t>
      </w:r>
      <w:r>
        <w:rPr>
          <w:rFonts w:eastAsia="Times New Roman" w:cs="Arial"/>
          <w:bCs/>
          <w:sz w:val="22"/>
          <w:szCs w:val="22"/>
          <w:lang w:eastAsia="ja-JP"/>
        </w:rPr>
        <w:t xml:space="preserve"> – 28</w:t>
      </w:r>
      <w:r>
        <w:rPr>
          <w:rFonts w:eastAsia="Times New Roman" w:cs="Arial"/>
          <w:bCs/>
          <w:sz w:val="22"/>
          <w:szCs w:val="22"/>
          <w:vertAlign w:val="superscript"/>
          <w:lang w:eastAsia="ja-JP"/>
        </w:rPr>
        <w:t>th</w:t>
      </w:r>
      <w:r>
        <w:rPr>
          <w:rFonts w:eastAsia="Times New Roman" w:cs="Arial"/>
          <w:bCs/>
          <w:sz w:val="22"/>
          <w:szCs w:val="22"/>
          <w:lang w:eastAsia="ja-JP"/>
        </w:rPr>
        <w:t>, 2020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Evaluation methodology and results for NR coverage enhancements</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w:t>
      </w:r>
      <w:r>
        <w:rPr>
          <w:rFonts w:hint="eastAsia" w:eastAsia="宋体"/>
          <w:sz w:val="20"/>
          <w:lang w:val="en-US" w:eastAsia="zh-CN"/>
        </w:rPr>
        <w:t>8</w:t>
      </w:r>
      <w:r>
        <w:rPr>
          <w:rFonts w:hint="eastAsia" w:eastAsia="宋体"/>
          <w:sz w:val="20"/>
          <w:lang w:eastAsia="zh-CN"/>
        </w:rPr>
        <w:t>.3</w:t>
      </w:r>
    </w:p>
    <w:p>
      <w:pPr>
        <w:pStyle w:val="21"/>
        <w:snapToGrid w:val="0"/>
        <w:spacing w:after="180" w:afterLines="50" w:line="240" w:lineRule="auto"/>
        <w:rPr>
          <w:sz w:val="20"/>
        </w:rPr>
      </w:pPr>
      <w:r>
        <w:rPr>
          <w:sz w:val="20"/>
        </w:rPr>
        <w:t>Document for:  Discussion and Decision</w:t>
      </w:r>
    </w:p>
    <w:bookmarkEnd w:id="0"/>
    <w:bookmarkEnd w:id="1"/>
    <w:p>
      <w:pPr>
        <w:pStyle w:val="2"/>
        <w:spacing w:before="180"/>
      </w:pPr>
      <w:r>
        <w:t>Introduction</w:t>
      </w:r>
    </w:p>
    <w:p>
      <w:pPr>
        <w:rPr>
          <w:rFonts w:hint="eastAsia"/>
          <w:lang w:val="en-US" w:eastAsia="zh-CN"/>
        </w:rPr>
      </w:pPr>
      <w:r>
        <w:rPr>
          <w:rFonts w:hint="eastAsia" w:eastAsia="宋体"/>
          <w:lang w:val="en-US" w:eastAsia="zh-CN"/>
        </w:rPr>
        <w:t xml:space="preserve">In the RAN plenary #86 meeting, a new SID on NR coverage enhancement was approved [1]. </w:t>
      </w:r>
      <w:r>
        <w:rPr>
          <w:bCs/>
        </w:rPr>
        <w:t xml:space="preserve">The objective of this study item is to </w:t>
      </w:r>
      <w:r>
        <w:rPr>
          <w:rFonts w:hint="eastAsia" w:eastAsia="宋体"/>
          <w:bCs/>
          <w:lang w:val="en-US" w:eastAsia="zh-CN"/>
        </w:rPr>
        <w:t>i</w:t>
      </w:r>
      <w:r>
        <w:rPr>
          <w:lang w:val="en-US" w:eastAsia="zh-CN"/>
        </w:rPr>
        <w:t>dentify</w:t>
      </w:r>
      <w:r>
        <w:rPr>
          <w:rFonts w:hint="eastAsia"/>
          <w:lang w:val="en-US" w:eastAsia="zh-CN"/>
        </w:rPr>
        <w:t xml:space="preserve"> the</w:t>
      </w:r>
      <w:r>
        <w:rPr>
          <w:lang w:val="en-US" w:eastAsia="zh-CN"/>
        </w:rPr>
        <w:t xml:space="preserve"> baseline coverage performance </w:t>
      </w:r>
      <w:r>
        <w:rPr>
          <w:rFonts w:hint="eastAsia"/>
          <w:lang w:val="en-US" w:eastAsia="zh-CN"/>
        </w:rPr>
        <w:t xml:space="preserve">and </w:t>
      </w:r>
      <w:r>
        <w:rPr>
          <w:lang w:val="en-US" w:eastAsia="zh-CN"/>
        </w:rPr>
        <w:t xml:space="preserve">the target coverage </w:t>
      </w:r>
      <w:r>
        <w:rPr>
          <w:rFonts w:hint="eastAsia"/>
          <w:lang w:val="en-US" w:eastAsia="zh-CN"/>
        </w:rPr>
        <w:t>performance f</w:t>
      </w:r>
      <w:r>
        <w:rPr>
          <w:bCs/>
        </w:rPr>
        <w:t>or specific scenarios for both FR1 and FR2</w:t>
      </w:r>
      <w:r>
        <w:rPr>
          <w:rFonts w:hint="eastAsia" w:eastAsia="宋体"/>
          <w:bCs/>
          <w:lang w:val="en-US" w:eastAsia="zh-CN"/>
        </w:rPr>
        <w:t xml:space="preserve">, </w:t>
      </w:r>
      <w:r>
        <w:rPr>
          <w:rFonts w:hint="eastAsia"/>
          <w:lang w:val="en-US" w:eastAsia="zh-CN"/>
        </w:rPr>
        <w:t xml:space="preserve">and </w:t>
      </w:r>
      <w:r>
        <w:rPr>
          <w:bCs/>
        </w:rPr>
        <w:t xml:space="preserve">study </w:t>
      </w:r>
      <w:r>
        <w:rPr>
          <w:rFonts w:hint="eastAsia" w:eastAsia="宋体"/>
          <w:bCs/>
          <w:lang w:val="en-US" w:eastAsia="zh-CN"/>
        </w:rPr>
        <w:t xml:space="preserve">the </w:t>
      </w:r>
      <w:r>
        <w:rPr>
          <w:bCs/>
        </w:rPr>
        <w:t>potential solutions</w:t>
      </w:r>
      <w:r>
        <w:rPr>
          <w:rFonts w:hint="eastAsia" w:eastAsia="宋体"/>
          <w:bCs/>
          <w:lang w:val="en-US" w:eastAsia="zh-CN"/>
        </w:rPr>
        <w:t xml:space="preserve"> for both DL and UL. In RAN1#101-e meeting, the following agreements were achieved on evaluation </w:t>
      </w:r>
      <w:r>
        <w:rPr>
          <w:rFonts w:hint="eastAsia"/>
          <w:lang w:val="en-US" w:eastAsia="zh-CN"/>
        </w:rPr>
        <w:t>methodology [2].</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jc w:val="both"/>
              <w:rPr>
                <w:rFonts w:eastAsia="Batang"/>
                <w:b/>
                <w:highlight w:val="green"/>
              </w:rPr>
            </w:pPr>
            <w:r>
              <w:rPr>
                <w:rFonts w:eastAsia="Batang"/>
                <w:b/>
                <w:highlight w:val="green"/>
              </w:rPr>
              <w:t>Agreements:</w:t>
            </w:r>
          </w:p>
          <w:p>
            <w:pPr>
              <w:pStyle w:val="109"/>
              <w:keepNext w:val="0"/>
              <w:keepLines w:val="0"/>
              <w:pageBreakBefore w:val="0"/>
              <w:widowControl/>
              <w:numPr>
                <w:ilvl w:val="0"/>
                <w:numId w:val="0"/>
              </w:numPr>
              <w:kinsoku/>
              <w:wordWrap/>
              <w:overflowPunct w:val="0"/>
              <w:topLinePunct w:val="0"/>
              <w:autoSpaceDE w:val="0"/>
              <w:autoSpaceDN w:val="0"/>
              <w:bidi w:val="0"/>
              <w:adjustRightInd w:val="0"/>
              <w:snapToGrid w:val="0"/>
              <w:contextualSpacing/>
              <w:textAlignment w:val="baseline"/>
              <w:rPr>
                <w:rFonts w:ascii="Times New Roman" w:hAnsi="Times New Roman"/>
                <w:sz w:val="20"/>
                <w:szCs w:val="20"/>
                <w:lang w:val="en-GB"/>
              </w:rPr>
            </w:pPr>
            <w:r>
              <w:rPr>
                <w:rFonts w:ascii="Times New Roman" w:hAnsi="Times New Roman"/>
                <w:sz w:val="20"/>
                <w:szCs w:val="20"/>
                <w:lang w:val="en-GB"/>
              </w:rPr>
              <w:t>The basic evaluation methodology is based on link-level simulation for FR1.</w:t>
            </w:r>
          </w:p>
          <w:p>
            <w:pPr>
              <w:numPr>
                <w:ilvl w:val="0"/>
                <w:numId w:val="3"/>
              </w:numPr>
              <w:overflowPunct/>
              <w:autoSpaceDE/>
              <w:adjustRightInd/>
              <w:spacing w:after="0"/>
              <w:contextualSpacing/>
              <w:jc w:val="both"/>
              <w:textAlignment w:val="auto"/>
            </w:pPr>
            <w:r>
              <w:t>Step 1: Obtain the required SINR for the physical channels under target scenarios and service/reliability requirements.</w:t>
            </w:r>
          </w:p>
          <w:p>
            <w:pPr>
              <w:numPr>
                <w:ilvl w:val="0"/>
                <w:numId w:val="3"/>
              </w:numPr>
              <w:overflowPunct/>
              <w:autoSpaceDE/>
              <w:adjustRightInd/>
              <w:spacing w:after="0"/>
              <w:contextualSpacing/>
              <w:jc w:val="both"/>
              <w:textAlignment w:val="auto"/>
            </w:pPr>
            <w:r>
              <w:t>Step 2: Obtain the baseline performance based on required SINR and link budget template.</w:t>
            </w:r>
          </w:p>
          <w:p>
            <w:pPr>
              <w:numPr>
                <w:ilvl w:val="0"/>
                <w:numId w:val="3"/>
              </w:numPr>
              <w:overflowPunct/>
              <w:autoSpaceDE/>
              <w:adjustRightInd/>
              <w:spacing w:after="0"/>
              <w:contextualSpacing/>
              <w:jc w:val="both"/>
              <w:textAlignment w:val="auto"/>
            </w:pPr>
            <w:r>
              <w:t>Note: aspects related to identifying target performance and coverage bottlenecks based on target performance metric is to be handled separately</w:t>
            </w:r>
          </w:p>
          <w:p>
            <w:pPr>
              <w:pStyle w:val="109"/>
              <w:widowControl/>
              <w:numPr>
                <w:ilvl w:val="0"/>
                <w:numId w:val="4"/>
              </w:numPr>
              <w:ind w:leftChars="0"/>
              <w:contextualSpacing/>
              <w:rPr>
                <w:rFonts w:ascii="Times New Roman" w:hAnsi="Times New Roman"/>
                <w:sz w:val="20"/>
                <w:szCs w:val="20"/>
                <w:lang w:val="en-GB"/>
              </w:rPr>
            </w:pPr>
            <w:r>
              <w:rPr>
                <w:rFonts w:ascii="Times New Roman" w:hAnsi="Times New Roman"/>
                <w:sz w:val="20"/>
                <w:szCs w:val="20"/>
                <w:lang w:val="en-GB"/>
              </w:rPr>
              <w:t>The evaluation methodology based on system-level simulation is optional for FR1.</w:t>
            </w:r>
          </w:p>
          <w:p>
            <w:pPr>
              <w:numPr>
                <w:ilvl w:val="0"/>
                <w:numId w:val="3"/>
              </w:numPr>
              <w:overflowPunct/>
              <w:autoSpaceDE/>
              <w:adjustRightInd/>
              <w:spacing w:after="0"/>
              <w:contextualSpacing/>
              <w:jc w:val="both"/>
              <w:textAlignment w:val="auto"/>
              <w:rPr>
                <w:rFonts w:hint="eastAsia" w:eastAsia="宋体"/>
                <w:highlight w:val="none"/>
                <w:vertAlign w:val="baseline"/>
                <w:lang w:val="en-US" w:eastAsia="zh-CN"/>
              </w:rPr>
            </w:pPr>
            <w:r>
              <w:t>Note: The simulation assumptions for SLS are up to companies’ reports.</w:t>
            </w:r>
          </w:p>
          <w:p>
            <w:pPr>
              <w:numPr>
                <w:ilvl w:val="0"/>
                <w:numId w:val="0"/>
              </w:numPr>
              <w:overflowPunct/>
              <w:autoSpaceDE/>
              <w:adjustRightInd/>
              <w:spacing w:after="0"/>
              <w:contextualSpacing/>
              <w:jc w:val="both"/>
              <w:textAlignment w:val="auto"/>
            </w:pPr>
          </w:p>
          <w:p>
            <w:pPr>
              <w:jc w:val="both"/>
              <w:rPr>
                <w:rFonts w:eastAsia="Batang"/>
                <w:b/>
                <w:highlight w:val="green"/>
              </w:rPr>
            </w:pPr>
            <w:r>
              <w:rPr>
                <w:rFonts w:eastAsia="Batang"/>
                <w:b/>
                <w:highlight w:val="green"/>
              </w:rPr>
              <w:t>Agreements:</w:t>
            </w:r>
          </w:p>
          <w:p>
            <w:pPr>
              <w:pStyle w:val="109"/>
              <w:keepNext w:val="0"/>
              <w:keepLines w:val="0"/>
              <w:pageBreakBefore w:val="0"/>
              <w:widowControl/>
              <w:numPr>
                <w:ilvl w:val="0"/>
                <w:numId w:val="0"/>
              </w:numPr>
              <w:kinsoku/>
              <w:wordWrap/>
              <w:overflowPunct w:val="0"/>
              <w:topLinePunct w:val="0"/>
              <w:autoSpaceDE w:val="0"/>
              <w:autoSpaceDN w:val="0"/>
              <w:bidi w:val="0"/>
              <w:adjustRightInd w:val="0"/>
              <w:snapToGrid w:val="0"/>
              <w:spacing w:line="240" w:lineRule="auto"/>
              <w:contextualSpacing/>
              <w:textAlignment w:val="baseline"/>
              <w:rPr>
                <w:rFonts w:ascii="Times New Roman" w:hAnsi="Times New Roman"/>
                <w:sz w:val="20"/>
                <w:szCs w:val="20"/>
                <w:lang w:val="en-GB" w:eastAsia="zh-CN"/>
              </w:rPr>
            </w:pPr>
            <w:r>
              <w:rPr>
                <w:rFonts w:ascii="Times New Roman" w:hAnsi="Times New Roman"/>
                <w:sz w:val="20"/>
                <w:szCs w:val="20"/>
                <w:lang w:val="en-GB"/>
              </w:rPr>
              <w:t>Down selection on the following options for the link budget template for FR1 in next meeting.</w:t>
            </w:r>
          </w:p>
          <w:p>
            <w:pPr>
              <w:numPr>
                <w:ilvl w:val="0"/>
                <w:numId w:val="5"/>
              </w:numPr>
              <w:overflowPunct/>
              <w:autoSpaceDE/>
              <w:adjustRightInd/>
              <w:spacing w:after="0" w:line="312" w:lineRule="auto"/>
              <w:jc w:val="both"/>
              <w:textAlignment w:val="auto"/>
            </w:pPr>
            <w:r>
              <w:t>Option 1: Adopt single link budget template based on IMT-2020 self-evaluation with necessary revisions, including adding/removing/revising some parameters.</w:t>
            </w:r>
          </w:p>
          <w:p>
            <w:pPr>
              <w:numPr>
                <w:ilvl w:val="1"/>
                <w:numId w:val="5"/>
              </w:numPr>
              <w:overflowPunct/>
              <w:autoSpaceDE/>
              <w:adjustRightInd/>
              <w:spacing w:after="0" w:line="312" w:lineRule="auto"/>
              <w:jc w:val="both"/>
              <w:textAlignment w:val="auto"/>
            </w:pPr>
            <w:r>
              <w:t>FFS: The template provided by FL in Tdoc R1-2005005.</w:t>
            </w:r>
          </w:p>
          <w:p>
            <w:pPr>
              <w:numPr>
                <w:ilvl w:val="0"/>
                <w:numId w:val="5"/>
              </w:numPr>
              <w:overflowPunct/>
              <w:autoSpaceDE/>
              <w:adjustRightInd/>
              <w:spacing w:after="0" w:line="312" w:lineRule="auto"/>
              <w:ind w:hanging="357"/>
              <w:contextualSpacing/>
              <w:jc w:val="both"/>
              <w:textAlignment w:val="auto"/>
              <w:rPr>
                <w:rFonts w:ascii="Times New Roman" w:hAnsi="Times New Roman"/>
                <w:sz w:val="20"/>
                <w:szCs w:val="20"/>
                <w:lang w:val="en-GB"/>
              </w:rPr>
            </w:pPr>
            <w:r>
              <w:t>Option 2: Adopt both templates, i.e. link budget template in IMT-2020 self-evaluation and link budget template in TR 36.824.</w:t>
            </w:r>
          </w:p>
          <w:p>
            <w:pPr>
              <w:numPr>
                <w:ilvl w:val="0"/>
                <w:numId w:val="5"/>
              </w:numPr>
              <w:overflowPunct/>
              <w:autoSpaceDE/>
              <w:adjustRightInd/>
              <w:spacing w:after="0" w:line="312" w:lineRule="auto"/>
              <w:ind w:hanging="357"/>
              <w:contextualSpacing/>
              <w:jc w:val="both"/>
              <w:textAlignment w:val="auto"/>
              <w:rPr>
                <w:rFonts w:ascii="Times New Roman" w:hAnsi="Times New Roman"/>
                <w:sz w:val="20"/>
                <w:szCs w:val="20"/>
                <w:lang w:val="en-GB"/>
              </w:rPr>
            </w:pPr>
            <w:r>
              <w:rPr>
                <w:rFonts w:ascii="Times New Roman" w:hAnsi="Times New Roman"/>
                <w:sz w:val="20"/>
                <w:szCs w:val="20"/>
                <w:lang w:val="en-GB"/>
              </w:rPr>
              <w:t>Option 3: Adopt single link budget template in TR 36.824 with necessary revisions, including adding/revising some parameters.</w:t>
            </w:r>
          </w:p>
          <w:p>
            <w:pPr>
              <w:jc w:val="both"/>
              <w:rPr>
                <w:rFonts w:eastAsia="Batang"/>
                <w:b/>
                <w:highlight w:val="green"/>
              </w:rPr>
            </w:pPr>
            <w:r>
              <w:rPr>
                <w:rFonts w:eastAsia="Batang"/>
                <w:b/>
                <w:highlight w:val="green"/>
              </w:rPr>
              <w:t>Agreements:</w:t>
            </w:r>
          </w:p>
          <w:p>
            <w:pPr>
              <w:keepNext w:val="0"/>
              <w:keepLines w:val="0"/>
              <w:pageBreakBefore w:val="0"/>
              <w:widowControl/>
              <w:kinsoku/>
              <w:wordWrap/>
              <w:overflowPunct w:val="0"/>
              <w:topLinePunct w:val="0"/>
              <w:autoSpaceDE w:val="0"/>
              <w:autoSpaceDN w:val="0"/>
              <w:bidi w:val="0"/>
              <w:adjustRightInd w:val="0"/>
              <w:snapToGrid w:val="0"/>
              <w:spacing w:line="240" w:lineRule="auto"/>
              <w:jc w:val="both"/>
              <w:textAlignment w:val="baseline"/>
            </w:pPr>
            <w:r>
              <w:t>Down selection on the following options for antenna array gain for LLS based methodology for FR1 in next meeting.</w:t>
            </w:r>
          </w:p>
          <w:p>
            <w:pPr>
              <w:numPr>
                <w:ilvl w:val="0"/>
                <w:numId w:val="4"/>
              </w:numPr>
              <w:adjustRightInd/>
              <w:spacing w:after="0" w:line="312" w:lineRule="auto"/>
              <w:jc w:val="both"/>
              <w:textAlignment w:val="auto"/>
            </w:pPr>
            <w:r>
              <w:t xml:space="preserve">Option 1: Antenna array gain is included in the link budget template. </w:t>
            </w:r>
          </w:p>
          <w:p>
            <w:pPr>
              <w:numPr>
                <w:ilvl w:val="0"/>
                <w:numId w:val="6"/>
              </w:numPr>
              <w:adjustRightInd/>
              <w:spacing w:after="0" w:line="312" w:lineRule="auto"/>
              <w:jc w:val="both"/>
              <w:textAlignment w:val="auto"/>
            </w:pPr>
            <w:r>
              <w:t>FFS: array gain = 10 * 1og10 (number of antenna elements/number of TxRUs)</w:t>
            </w:r>
          </w:p>
          <w:p>
            <w:pPr>
              <w:numPr>
                <w:ilvl w:val="0"/>
                <w:numId w:val="6"/>
              </w:numPr>
              <w:adjustRightInd/>
              <w:spacing w:after="0" w:line="312" w:lineRule="auto"/>
              <w:jc w:val="both"/>
              <w:textAlignment w:val="auto"/>
            </w:pPr>
            <w:r>
              <w:t>FFS: For TDL channel model</w:t>
            </w:r>
          </w:p>
          <w:p>
            <w:pPr>
              <w:numPr>
                <w:ilvl w:val="0"/>
                <w:numId w:val="6"/>
              </w:numPr>
              <w:adjustRightInd/>
              <w:spacing w:after="0" w:line="312" w:lineRule="auto"/>
              <w:jc w:val="both"/>
              <w:textAlignment w:val="auto"/>
            </w:pPr>
            <w:r>
              <w:t xml:space="preserve">FFS: </w:t>
            </w:r>
            <w:r>
              <w:rPr>
                <w:lang w:eastAsia="ko-KR"/>
              </w:rPr>
              <w:t>Values reflective of realistic implementation and network operation</w:t>
            </w:r>
            <w:r>
              <w:t>.</w:t>
            </w:r>
          </w:p>
          <w:p>
            <w:pPr>
              <w:numPr>
                <w:ilvl w:val="0"/>
                <w:numId w:val="4"/>
              </w:numPr>
              <w:adjustRightInd/>
              <w:spacing w:after="0" w:line="312" w:lineRule="auto"/>
              <w:jc w:val="both"/>
              <w:textAlignment w:val="auto"/>
              <w:rPr>
                <w:rFonts w:eastAsia="等线"/>
              </w:rPr>
            </w:pPr>
            <w:r>
              <w:t>Option 2: Antenna array gain is included in LLS.</w:t>
            </w:r>
          </w:p>
          <w:p>
            <w:pPr>
              <w:numPr>
                <w:ilvl w:val="0"/>
                <w:numId w:val="6"/>
              </w:numPr>
              <w:adjustRightInd/>
              <w:spacing w:after="0" w:line="312" w:lineRule="auto"/>
              <w:jc w:val="both"/>
              <w:textAlignment w:val="auto"/>
              <w:rPr>
                <w:rFonts w:hint="eastAsia"/>
                <w:vertAlign w:val="baseline"/>
                <w:lang w:val="en-US" w:eastAsia="zh-CN"/>
              </w:rPr>
            </w:pPr>
            <w:r>
              <w:t>FFS: For CDL channel model</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lang w:val="en-US"/>
        </w:rPr>
      </w:pPr>
      <w:r>
        <w:rPr>
          <w:rFonts w:hint="eastAsia"/>
          <w:lang w:val="en-US" w:eastAsia="zh-CN"/>
        </w:rPr>
        <w:t>In this contribution, w</w:t>
      </w:r>
      <w:r>
        <w:rPr>
          <w:rFonts w:eastAsia="宋体"/>
          <w:lang w:val="en-US" w:eastAsia="zh-CN"/>
        </w:rPr>
        <w:t xml:space="preserve">e provide </w:t>
      </w:r>
      <w:r>
        <w:rPr>
          <w:rFonts w:hint="eastAsia" w:eastAsia="宋体"/>
          <w:lang w:val="en-US" w:eastAsia="zh-CN"/>
        </w:rPr>
        <w:t xml:space="preserve">our views on the </w:t>
      </w:r>
      <w:r>
        <w:rPr>
          <w:rFonts w:hint="eastAsia" w:eastAsia="宋体"/>
          <w:bCs/>
          <w:lang w:val="en-US" w:eastAsia="zh-CN"/>
        </w:rPr>
        <w:t xml:space="preserve">evaluation </w:t>
      </w:r>
      <w:r>
        <w:rPr>
          <w:rFonts w:hint="eastAsia"/>
          <w:lang w:val="en-US" w:eastAsia="zh-CN"/>
        </w:rPr>
        <w:t>methodology, including both LLS based and SLS based methodology.</w:t>
      </w:r>
    </w:p>
    <w:p>
      <w:pPr>
        <w:pStyle w:val="2"/>
        <w:spacing w:before="180"/>
        <w:rPr>
          <w:lang w:val="en-US"/>
        </w:rPr>
      </w:pPr>
      <w:r>
        <w:rPr>
          <w:rFonts w:hint="eastAsia"/>
          <w:lang w:val="en-US"/>
        </w:rPr>
        <w:t>Discu</w:t>
      </w:r>
      <w:r>
        <w:rPr>
          <w:rFonts w:hint="eastAsia" w:ascii="Arial" w:hAnsi="Arial" w:eastAsia="宋体" w:cs="Times New Roman"/>
          <w:lang w:val="en-US"/>
        </w:rPr>
        <w:t>ssion</w:t>
      </w:r>
      <w:r>
        <w:rPr>
          <w:rFonts w:hint="eastAsia" w:ascii="Arial" w:hAnsi="Arial" w:eastAsia="宋体" w:cs="Times New Roman"/>
          <w:lang w:val="en-US" w:eastAsia="zh-CN"/>
        </w:rPr>
        <w:t xml:space="preserve"> on </w:t>
      </w:r>
      <w:r>
        <w:rPr>
          <w:rFonts w:hint="eastAsia" w:ascii="Arial" w:hAnsi="Arial" w:eastAsia="宋体" w:cs="Times New Roman"/>
          <w:lang w:val="en-GB"/>
        </w:rPr>
        <w:t>link budget template</w:t>
      </w:r>
      <w:r>
        <w:rPr>
          <w:rFonts w:hint="eastAsia" w:ascii="Arial" w:hAnsi="Arial" w:eastAsia="宋体" w:cs="Times New Roman"/>
          <w:lang w:val="en-US" w:eastAsia="zh-CN"/>
        </w:rPr>
        <w:t xml:space="preserve"> </w:t>
      </w:r>
      <w:r>
        <w:t>for LLS based methodology</w:t>
      </w:r>
    </w:p>
    <w:p>
      <w:pPr>
        <w:rPr>
          <w:rFonts w:hint="default"/>
          <w:lang w:val="en-US" w:eastAsia="zh-CN"/>
        </w:rPr>
      </w:pPr>
      <w:r>
        <w:rPr>
          <w:rFonts w:hint="eastAsia"/>
          <w:lang w:val="en-US" w:eastAsia="zh-CN"/>
        </w:rPr>
        <w:t>In the RAN1#101-e meeting, it was discussed on whether to adopt the template based on IMT-2020 or the one from TR 36.824. First, IMT-2020 based template contains more detailed influencing factors, which can provide more meaningful information than the MCL based template. Then, we can gain more insights into our real network deployment. In addition, the MCL based template in TR 36.824 is used for LTE coverage evaluation, and companies had different views on the definition of MCL for NR. For instance, whether to consider some beamforming related impact. Based on above, we have the following proposal.</w:t>
      </w:r>
    </w:p>
    <w:p>
      <w:pPr>
        <w:rPr>
          <w:rFonts w:hint="eastAsia" w:eastAsia="宋体"/>
          <w:b w:val="0"/>
          <w:bCs w:val="0"/>
          <w:i/>
          <w:iCs/>
          <w:lang w:val="en-US" w:eastAsia="zh-CN"/>
        </w:rPr>
      </w:pPr>
      <w:r>
        <w:rPr>
          <w:rFonts w:hint="eastAsia"/>
          <w:b/>
          <w:bCs/>
          <w:i/>
          <w:iCs/>
          <w:lang w:val="en-US" w:eastAsia="zh-CN"/>
        </w:rPr>
        <w:t xml:space="preserve">Proposal 1: </w:t>
      </w:r>
      <w:r>
        <w:rPr>
          <w:rFonts w:hint="eastAsia"/>
          <w:b w:val="0"/>
          <w:bCs w:val="0"/>
          <w:i/>
          <w:iCs/>
          <w:lang w:val="en-US" w:eastAsia="zh-CN"/>
        </w:rPr>
        <w:t xml:space="preserve"> </w:t>
      </w:r>
      <w:r>
        <w:rPr>
          <w:b w:val="0"/>
          <w:bCs w:val="0"/>
          <w:i/>
          <w:iCs/>
        </w:rPr>
        <w:t>Adopt link budget template based on IMT-2020 self-evaluation</w:t>
      </w:r>
      <w:r>
        <w:rPr>
          <w:rFonts w:hint="eastAsia" w:eastAsia="宋体"/>
          <w:b w:val="0"/>
          <w:bCs w:val="0"/>
          <w:i/>
          <w:iCs/>
          <w:lang w:val="en-US" w:eastAsia="zh-CN"/>
        </w:rPr>
        <w:t>.</w:t>
      </w:r>
    </w:p>
    <w:p>
      <w:pPr>
        <w:rPr>
          <w:rFonts w:hint="eastAsia" w:eastAsia="宋体"/>
          <w:b w:val="0"/>
          <w:bCs w:val="0"/>
          <w:i/>
          <w:iCs/>
          <w:lang w:val="en-US" w:eastAsia="zh-CN"/>
        </w:rPr>
      </w:pPr>
      <w:r>
        <w:rPr>
          <w:rFonts w:hint="eastAsia"/>
          <w:lang w:val="en-US" w:eastAsia="zh-CN"/>
        </w:rPr>
        <w:t xml:space="preserve">For IMT-2020 based template, more detailed analysis is provided in our companion contribution [3][4]. </w:t>
      </w:r>
    </w:p>
    <w:p>
      <w:pPr>
        <w:pStyle w:val="2"/>
        <w:spacing w:before="180"/>
        <w:rPr>
          <w:lang w:val="en-US"/>
        </w:rPr>
      </w:pPr>
      <w:r>
        <w:rPr>
          <w:rFonts w:hint="eastAsia"/>
          <w:lang w:val="en-US"/>
        </w:rPr>
        <w:t>Discu</w:t>
      </w:r>
      <w:r>
        <w:rPr>
          <w:rFonts w:hint="eastAsia" w:ascii="Arial" w:hAnsi="Arial" w:eastAsia="宋体" w:cs="Times New Roman"/>
          <w:lang w:val="en-US"/>
        </w:rPr>
        <w:t>ssion</w:t>
      </w:r>
      <w:r>
        <w:rPr>
          <w:rFonts w:hint="eastAsia" w:ascii="Arial" w:hAnsi="Arial" w:eastAsia="宋体" w:cs="Times New Roman"/>
          <w:lang w:val="en-US" w:eastAsia="zh-CN"/>
        </w:rPr>
        <w:t xml:space="preserve"> on antenna array gain </w:t>
      </w:r>
      <w:r>
        <w:t>for LLS based methodology</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eastAsia" w:eastAsia="宋体"/>
          <w:lang w:val="en-US" w:eastAsia="zh-CN"/>
        </w:rPr>
      </w:pPr>
      <w:r>
        <w:rPr>
          <w:rFonts w:hint="eastAsia"/>
          <w:lang w:val="en-US" w:eastAsia="zh-CN"/>
        </w:rPr>
        <w:t xml:space="preserve">Two options on determination of antenna array gain for FR1 were discussed in the RAN1#101-e meeting. Option 1 is that the antenna array gain is included in link budget template and a potential margin is used to reflect the </w:t>
      </w:r>
      <w:r>
        <w:rPr>
          <w:lang w:eastAsia="ko-KR"/>
        </w:rPr>
        <w:t xml:space="preserve">realistic implementation </w:t>
      </w:r>
      <w:r>
        <w:rPr>
          <w:rFonts w:hint="eastAsia" w:eastAsia="宋体"/>
          <w:lang w:val="en-US" w:eastAsia="zh-CN"/>
        </w:rPr>
        <w:t xml:space="preserve">and network operation. Option 2 is to be included in LLS. </w:t>
      </w:r>
    </w:p>
    <w:p>
      <w:pPr>
        <w:bidi w:val="0"/>
        <w:rPr>
          <w:rFonts w:hint="eastAsia"/>
          <w:lang w:val="en-US" w:eastAsia="zh-CN"/>
        </w:rPr>
      </w:pPr>
      <w:r>
        <w:rPr>
          <w:rFonts w:hint="eastAsia"/>
          <w:lang w:val="en-US" w:eastAsia="zh-CN"/>
        </w:rPr>
        <w:t>As agreed, TDL is the baseline channel model for FR1. However, Option 2 would require CDL channel model. In addition, even CDL is used, we are skeptical about the accuracy. Because, it seems not possible to accurately model the UE distribution and the relative position between UE and gNB in LLS.</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lang w:val="en-US" w:eastAsia="zh-CN"/>
        </w:rPr>
      </w:pPr>
      <w:r>
        <w:rPr>
          <w:rFonts w:hint="eastAsia"/>
          <w:b/>
          <w:bCs/>
          <w:i/>
          <w:iCs/>
          <w:lang w:val="en-US" w:eastAsia="zh-CN"/>
        </w:rPr>
        <w:t xml:space="preserve">Proposal 2: </w:t>
      </w:r>
      <w:r>
        <w:rPr>
          <w:rFonts w:hint="eastAsia"/>
          <w:b w:val="0"/>
          <w:bCs w:val="0"/>
          <w:i/>
          <w:iCs/>
          <w:lang w:val="en-US" w:eastAsia="zh-CN"/>
        </w:rPr>
        <w:t xml:space="preserve">For </w:t>
      </w:r>
      <w:r>
        <w:rPr>
          <w:b w:val="0"/>
          <w:bCs w:val="0"/>
          <w:i/>
          <w:iCs/>
        </w:rPr>
        <w:t>LLS based methodology</w:t>
      </w:r>
      <w:r>
        <w:rPr>
          <w:rFonts w:hint="eastAsia" w:eastAsia="宋体"/>
          <w:b w:val="0"/>
          <w:bCs w:val="0"/>
          <w:i/>
          <w:iCs/>
          <w:lang w:val="en-US" w:eastAsia="zh-CN"/>
        </w:rPr>
        <w:t>, a</w:t>
      </w:r>
      <w:r>
        <w:rPr>
          <w:b w:val="0"/>
          <w:bCs w:val="0"/>
          <w:i/>
          <w:iCs/>
        </w:rPr>
        <w:t>ntenna array gain is included in the link budget template.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rPr>
          <w:rFonts w:hint="eastAsia"/>
          <w:i w:val="0"/>
          <w:iCs w:val="0"/>
          <w:lang w:val="en-US" w:eastAsia="zh-CN"/>
        </w:rPr>
      </w:pPr>
      <w:r>
        <w:rPr>
          <w:rFonts w:hint="eastAsia"/>
          <w:lang w:val="en-US" w:eastAsia="zh-CN"/>
        </w:rPr>
        <w:t xml:space="preserve">Since the number of RF chains (denoted as </w:t>
      </w:r>
      <w:r>
        <w:rPr>
          <w:rFonts w:hint="eastAsia"/>
          <w:i/>
          <w:iCs/>
          <w:lang w:val="en-US" w:eastAsia="zh-CN"/>
        </w:rPr>
        <w:t>k</w:t>
      </w:r>
      <w:r>
        <w:rPr>
          <w:rFonts w:hint="eastAsia"/>
          <w:lang w:val="en-US" w:eastAsia="zh-CN"/>
        </w:rPr>
        <w:t xml:space="preserve">) could be different with the number of TxRUs  (denoted as </w:t>
      </w:r>
      <w:r>
        <w:rPr>
          <w:rFonts w:hint="eastAsia"/>
          <w:i/>
          <w:iCs/>
          <w:lang w:val="en-US" w:eastAsia="zh-CN"/>
        </w:rPr>
        <w:t>N</w:t>
      </w:r>
      <w:r>
        <w:rPr>
          <w:rFonts w:hint="eastAsia"/>
          <w:lang w:val="en-US" w:eastAsia="zh-CN"/>
        </w:rPr>
        <w:t xml:space="preserve">) as discussed in [3], the antenna array gain should be split into two parts. One is the digital gain of mapping RF chains to TxRUs, which can be ideally modeled as </w:t>
      </w:r>
      <w:r>
        <w:rPr>
          <w:rFonts w:hint="eastAsia"/>
          <w:i/>
          <w:iCs/>
          <w:lang w:val="en-US" w:eastAsia="zh-CN"/>
        </w:rPr>
        <w:t>10*log(N/k)</w:t>
      </w:r>
      <w:r>
        <w:rPr>
          <w:rFonts w:hint="eastAsia"/>
          <w:lang w:val="en-US" w:eastAsia="zh-CN"/>
        </w:rPr>
        <w:t xml:space="preserve"> . Assuming the number of antenna elements is </w:t>
      </w:r>
      <w:r>
        <w:rPr>
          <w:rFonts w:hint="eastAsia"/>
          <w:i/>
          <w:iCs/>
          <w:lang w:val="en-US" w:eastAsia="zh-CN"/>
        </w:rPr>
        <w:t>M</w:t>
      </w:r>
      <w:r>
        <w:rPr>
          <w:rFonts w:hint="eastAsia"/>
          <w:lang w:val="en-US" w:eastAsia="zh-CN"/>
        </w:rPr>
        <w:t xml:space="preserve">, the ideal beamforming gain for unicast channles is </w:t>
      </w:r>
      <w:r>
        <w:rPr>
          <w:rFonts w:hint="eastAsia"/>
          <w:i/>
          <w:iCs/>
          <w:lang w:val="en-US" w:eastAsia="zh-CN"/>
        </w:rPr>
        <w:t xml:space="preserve">10*log(M/N). </w:t>
      </w:r>
      <w:r>
        <w:rPr>
          <w:rFonts w:hint="eastAsia"/>
          <w:i w:val="0"/>
          <w:iCs w:val="0"/>
          <w:lang w:val="en-US" w:eastAsia="zh-CN"/>
        </w:rPr>
        <w:t>However, the UE would most possibly not in the bore sight of a beam. A beam loss is expected. Thus, the beamforming gain can be formulated as,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jc w:val="center"/>
        <w:textAlignment w:val="baseline"/>
        <w:rPr>
          <w:rFonts w:hint="default"/>
          <w:i w:val="0"/>
          <w:iCs w:val="0"/>
          <w:lang w:val="en-US" w:eastAsia="zh-CN"/>
        </w:rPr>
      </w:pPr>
      <w:r>
        <w:rPr>
          <w:rFonts w:hint="eastAsia"/>
          <w:i/>
          <w:iCs/>
          <w:lang w:val="en-US" w:eastAsia="zh-CN"/>
        </w:rPr>
        <w:t xml:space="preserve">                       Antenna array gain = 10*log(N/k) + 10*log(M/N) - Δ                                                 (1)</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rPr>
          <w:rFonts w:hint="eastAsia"/>
          <w:i w:val="0"/>
          <w:iCs w:val="0"/>
          <w:lang w:val="en-US" w:eastAsia="zh-CN"/>
        </w:rPr>
      </w:pPr>
      <w:r>
        <w:rPr>
          <w:rFonts w:hint="eastAsia"/>
          <w:i w:val="0"/>
          <w:iCs w:val="0"/>
          <w:lang w:val="en-US" w:eastAsia="zh-CN"/>
        </w:rPr>
        <w:t xml:space="preserve">As mentioned,  </w:t>
      </w:r>
      <w:r>
        <w:rPr>
          <w:rFonts w:hint="eastAsia"/>
          <w:i/>
          <w:iCs/>
          <w:lang w:val="en-US" w:eastAsia="zh-CN"/>
        </w:rPr>
        <w:t xml:space="preserve">Δ </w:t>
      </w:r>
      <w:r>
        <w:rPr>
          <w:rFonts w:hint="eastAsia"/>
          <w:i w:val="0"/>
          <w:iCs w:val="0"/>
          <w:lang w:val="en-US" w:eastAsia="zh-CN"/>
        </w:rPr>
        <w:t xml:space="preserve">could be regarded as zero ideally. But, an more accurate way to get the actual beamforming gain (i.e. </w:t>
      </w:r>
      <w:r>
        <w:rPr>
          <w:rFonts w:hint="eastAsia"/>
          <w:i/>
          <w:iCs/>
          <w:lang w:val="en-US" w:eastAsia="zh-CN"/>
        </w:rPr>
        <w:t>10*log(M/N) - Δ</w:t>
      </w:r>
      <w:r>
        <w:rPr>
          <w:rFonts w:hint="eastAsia"/>
          <w:i w:val="0"/>
          <w:iCs w:val="0"/>
          <w:lang w:val="en-US" w:eastAsia="zh-CN"/>
        </w:rPr>
        <w:t xml:space="preserve">) is via SLS. Note that, the digital precoding gain via RF chains could be reflected in LLS.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i/>
          <w:iCs/>
          <w:lang w:val="en-US" w:eastAsia="zh-CN"/>
        </w:rPr>
      </w:pPr>
      <w:r>
        <w:rPr>
          <w:rFonts w:hint="eastAsia"/>
          <w:b/>
          <w:bCs/>
          <w:i/>
          <w:iCs/>
          <w:lang w:val="en-US" w:eastAsia="zh-CN"/>
        </w:rPr>
        <w:t xml:space="preserve">Proposal 3: </w:t>
      </w:r>
      <w:r>
        <w:rPr>
          <w:rFonts w:hint="eastAsia"/>
          <w:i/>
          <w:iCs/>
          <w:lang w:val="en-US" w:eastAsia="zh-CN"/>
        </w:rPr>
        <w:t xml:space="preserve"> The antenna array gain for unicast channels can be modeled as 10*log(N/k) + 10*log(M/N) - Δ, where k, M and N is the number of RF chains, TxRUs and antenna elements respectively.</w:t>
      </w:r>
    </w:p>
    <w:p>
      <w:pPr>
        <w:keepNext w:val="0"/>
        <w:keepLines w:val="0"/>
        <w:pageBreakBefore w:val="0"/>
        <w:widowControl/>
        <w:numPr>
          <w:ilvl w:val="0"/>
          <w:numId w:val="7"/>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i/>
          <w:iCs/>
          <w:lang w:val="en-US" w:eastAsia="zh-CN"/>
        </w:rPr>
      </w:pPr>
      <w:r>
        <w:rPr>
          <w:rFonts w:hint="eastAsia"/>
          <w:i/>
          <w:iCs/>
          <w:lang w:val="en-US" w:eastAsia="zh-CN"/>
        </w:rPr>
        <w:t xml:space="preserve">Δ is the antenna array gain loss, which can be considered as zero or obtained by SLS.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i w:val="0"/>
          <w:iCs w:val="0"/>
          <w:lang w:val="en-US" w:eastAsia="zh-CN"/>
        </w:rPr>
      </w:pPr>
      <w:r>
        <w:rPr>
          <w:rFonts w:hint="eastAsia"/>
          <w:b w:val="0"/>
          <w:bCs w:val="0"/>
          <w:lang w:val="en-US" w:eastAsia="zh-CN"/>
        </w:rPr>
        <w:t xml:space="preserve">For broadcast channels, the beamforming gain is not only limited by the number of elements per TxRU but also limited by SSB beam number </w:t>
      </w:r>
      <w:r>
        <w:rPr>
          <w:rFonts w:hint="eastAsia"/>
          <w:lang w:val="en-US" w:eastAsia="zh-CN"/>
        </w:rPr>
        <w:t xml:space="preserve">(denoted as </w:t>
      </w:r>
      <w:r>
        <w:rPr>
          <w:rFonts w:hint="eastAsia"/>
          <w:i/>
          <w:iCs/>
          <w:lang w:val="en-US" w:eastAsia="zh-CN"/>
        </w:rPr>
        <w:t>X</w:t>
      </w:r>
      <w:r>
        <w:rPr>
          <w:rFonts w:hint="eastAsia"/>
          <w:lang w:val="en-US" w:eastAsia="zh-CN"/>
        </w:rPr>
        <w:t>)</w:t>
      </w:r>
      <w:r>
        <w:rPr>
          <w:rFonts w:hint="eastAsia"/>
          <w:b w:val="0"/>
          <w:bCs w:val="0"/>
          <w:lang w:val="en-US" w:eastAsia="zh-CN"/>
        </w:rPr>
        <w:t xml:space="preserve">. The ideal beamforming gain is </w:t>
      </w:r>
      <w:r>
        <w:rPr>
          <w:rFonts w:hint="eastAsia"/>
          <w:i/>
          <w:iCs/>
          <w:lang w:val="en-US" w:eastAsia="zh-CN"/>
        </w:rPr>
        <w:t xml:space="preserve">10*log(min(X, M/N)). </w:t>
      </w:r>
      <w:r>
        <w:rPr>
          <w:rFonts w:hint="eastAsia"/>
          <w:i w:val="0"/>
          <w:iCs w:val="0"/>
          <w:lang w:val="en-US" w:eastAsia="zh-CN"/>
        </w:rPr>
        <w:t>Similarly, a beam loss is expected.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i/>
          <w:iCs/>
          <w:sz w:val="20"/>
          <w:szCs w:val="20"/>
          <w:lang w:val="en-US" w:eastAsia="zh-CN"/>
        </w:rPr>
      </w:pPr>
      <w:r>
        <w:rPr>
          <w:rFonts w:hint="eastAsia"/>
          <w:b/>
          <w:bCs/>
          <w:i/>
          <w:iCs/>
          <w:sz w:val="20"/>
          <w:szCs w:val="20"/>
          <w:lang w:val="en-US" w:eastAsia="zh-CN"/>
        </w:rPr>
        <w:t xml:space="preserve">Proposal 4: </w:t>
      </w:r>
      <w:r>
        <w:rPr>
          <w:rFonts w:hint="eastAsia"/>
          <w:i/>
          <w:iCs/>
          <w:sz w:val="20"/>
          <w:szCs w:val="20"/>
          <w:lang w:val="en-US" w:eastAsia="zh-CN"/>
        </w:rPr>
        <w:t xml:space="preserve"> The antenna array gain for broadcast channels can be modeled as </w:t>
      </w:r>
      <w:r>
        <w:rPr>
          <w:rFonts w:hint="eastAsia"/>
          <w:i/>
          <w:iCs/>
          <w:lang w:val="en-US" w:eastAsia="zh-CN"/>
        </w:rPr>
        <w:t>10*log(min(X, M/N))</w:t>
      </w:r>
      <w:r>
        <w:rPr>
          <w:rFonts w:hint="eastAsia"/>
          <w:i/>
          <w:iCs/>
          <w:sz w:val="20"/>
          <w:szCs w:val="20"/>
          <w:lang w:val="en-US" w:eastAsia="zh-CN"/>
        </w:rPr>
        <w:t xml:space="preserve"> - Δ, where X is the number of </w:t>
      </w:r>
      <w:r>
        <w:rPr>
          <w:rFonts w:hint="eastAsia"/>
          <w:b w:val="0"/>
          <w:bCs w:val="0"/>
          <w:i/>
          <w:iCs/>
          <w:sz w:val="20"/>
          <w:szCs w:val="20"/>
          <w:lang w:val="en-US" w:eastAsia="zh-CN"/>
        </w:rPr>
        <w:t xml:space="preserve">SSB beams. </w:t>
      </w:r>
    </w:p>
    <w:p>
      <w:pPr>
        <w:keepNext w:val="0"/>
        <w:keepLines w:val="0"/>
        <w:pageBreakBefore w:val="0"/>
        <w:widowControl/>
        <w:numPr>
          <w:ilvl w:val="0"/>
          <w:numId w:val="7"/>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i/>
          <w:iCs/>
          <w:sz w:val="20"/>
          <w:szCs w:val="20"/>
          <w:lang w:val="en-US" w:eastAsia="zh-CN"/>
        </w:rPr>
      </w:pPr>
      <w:r>
        <w:rPr>
          <w:rFonts w:hint="eastAsia"/>
          <w:i/>
          <w:iCs/>
          <w:sz w:val="20"/>
          <w:szCs w:val="20"/>
          <w:lang w:val="en-US" w:eastAsia="zh-CN"/>
        </w:rPr>
        <w:t xml:space="preserve">Δ is the antenna array gain loss, which can be considered as zero or obtained by SLS. </w:t>
      </w:r>
    </w:p>
    <w:p>
      <w:pPr>
        <w:pStyle w:val="2"/>
        <w:spacing w:before="180"/>
        <w:rPr>
          <w:lang w:val="en-US"/>
        </w:rPr>
      </w:pPr>
      <w:r>
        <w:rPr>
          <w:rFonts w:hint="eastAsia"/>
          <w:lang w:val="en-US"/>
        </w:rPr>
        <w:t>Discu</w:t>
      </w:r>
      <w:r>
        <w:rPr>
          <w:rFonts w:hint="eastAsia" w:ascii="Arial" w:hAnsi="Arial" w:eastAsia="宋体" w:cs="Times New Roman"/>
          <w:lang w:val="en-US"/>
        </w:rPr>
        <w:t>ssion</w:t>
      </w:r>
      <w:r>
        <w:rPr>
          <w:rFonts w:hint="eastAsia" w:ascii="Arial" w:hAnsi="Arial" w:eastAsia="宋体" w:cs="Times New Roman"/>
          <w:lang w:val="en-US" w:eastAsia="zh-CN"/>
        </w:rPr>
        <w:t xml:space="preserve"> on target performance</w:t>
      </w:r>
    </w:p>
    <w:p>
      <w:pPr>
        <w:bidi w:val="0"/>
        <w:rPr>
          <w:rFonts w:hint="default"/>
          <w:lang w:val="en-US"/>
        </w:rPr>
      </w:pPr>
      <w:r>
        <w:rPr>
          <w:rFonts w:hint="eastAsia"/>
          <w:lang w:val="en-US" w:eastAsia="zh-CN"/>
        </w:rPr>
        <w:t xml:space="preserve">In the RAN1#101-e meeting, the target performance metric was discussed, and the following intermediate proposal was given.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pacing w:line="312" w:lineRule="auto"/>
              <w:rPr>
                <w:rFonts w:ascii="Times New Roman" w:hAnsi="Times New Roman" w:eastAsia="Batang" w:cs="Times New Roman"/>
                <w:b/>
                <w:szCs w:val="21"/>
                <w:lang w:val="en-GB"/>
              </w:rPr>
            </w:pPr>
            <w:r>
              <w:rPr>
                <w:rFonts w:ascii="Times New Roman" w:hAnsi="Times New Roman" w:eastAsia="Batang" w:cs="Times New Roman"/>
                <w:b/>
                <w:szCs w:val="21"/>
                <w:highlight w:val="yellow"/>
                <w:lang w:val="en-GB"/>
              </w:rPr>
              <w:t>Proposal:</w:t>
            </w:r>
          </w:p>
          <w:p>
            <w:pPr>
              <w:spacing w:line="312" w:lineRule="auto"/>
              <w:rPr>
                <w:rFonts w:ascii="Times New Roman" w:hAnsi="Times New Roman" w:eastAsia="等线" w:cs="Times New Roman"/>
                <w:szCs w:val="21"/>
                <w:lang w:val="en-GB"/>
              </w:rPr>
            </w:pPr>
            <w:r>
              <w:rPr>
                <w:rFonts w:ascii="Times New Roman" w:hAnsi="Times New Roman" w:eastAsia="等线" w:cs="Times New Roman"/>
                <w:bCs/>
                <w:szCs w:val="21"/>
                <w:lang w:val="en-GB"/>
              </w:rPr>
              <w:t>I</w:t>
            </w:r>
            <w:r>
              <w:rPr>
                <w:rFonts w:ascii="Times New Roman" w:hAnsi="Times New Roman" w:cs="Times New Roman"/>
                <w:szCs w:val="21"/>
                <w:lang w:val="en-GB"/>
              </w:rPr>
              <w:t>dentify the target performance and coverage bottlenecks based on target performance metric for FR1.</w:t>
            </w:r>
          </w:p>
          <w:p>
            <w:pPr>
              <w:pStyle w:val="109"/>
              <w:numPr>
                <w:ilvl w:val="0"/>
                <w:numId w:val="4"/>
              </w:numPr>
              <w:spacing w:line="312" w:lineRule="auto"/>
              <w:rPr>
                <w:rFonts w:ascii="Times New Roman" w:hAnsi="Times New Roman" w:eastAsia="宋体" w:cs="Times New Roman"/>
                <w:szCs w:val="21"/>
                <w:lang w:val="en-GB"/>
              </w:rPr>
            </w:pPr>
            <w:r>
              <w:rPr>
                <w:rFonts w:ascii="Times New Roman" w:hAnsi="Times New Roman" w:eastAsia="宋体" w:cs="Times New Roman"/>
                <w:szCs w:val="21"/>
                <w:lang w:val="en-GB"/>
              </w:rPr>
              <w:t>FFS: the target performance metric and potential down selection.</w:t>
            </w:r>
          </w:p>
          <w:p>
            <w:pPr>
              <w:numPr>
                <w:ilvl w:val="0"/>
                <w:numId w:val="5"/>
              </w:numPr>
              <w:spacing w:line="312" w:lineRule="auto"/>
              <w:contextualSpacing/>
              <w:rPr>
                <w:rFonts w:ascii="Times New Roman" w:hAnsi="Times New Roman" w:cs="Times New Roman"/>
                <w:szCs w:val="21"/>
                <w:lang w:val="en-GB"/>
              </w:rPr>
            </w:pPr>
            <w:r>
              <w:rPr>
                <w:rFonts w:ascii="Times New Roman" w:hAnsi="Times New Roman" w:cs="Times New Roman"/>
                <w:szCs w:val="21"/>
                <w:lang w:val="en-GB"/>
              </w:rPr>
              <w:t>Option 1: The target path loss is considered as the target performance.</w:t>
            </w:r>
          </w:p>
          <w:p>
            <w:pPr>
              <w:numPr>
                <w:ilvl w:val="1"/>
                <w:numId w:val="5"/>
              </w:numPr>
              <w:spacing w:line="312" w:lineRule="auto"/>
              <w:contextualSpacing/>
              <w:rPr>
                <w:rFonts w:ascii="Times New Roman" w:hAnsi="Times New Roman" w:cs="Times New Roman"/>
                <w:szCs w:val="21"/>
                <w:lang w:val="en-GB"/>
              </w:rPr>
            </w:pPr>
            <w:r>
              <w:rPr>
                <w:rFonts w:ascii="Times New Roman" w:hAnsi="Times New Roman" w:cs="Times New Roman"/>
                <w:szCs w:val="21"/>
                <w:lang w:val="en-GB"/>
              </w:rPr>
              <w:t>Alt1: Derived from the target ISD.</w:t>
            </w:r>
          </w:p>
          <w:p>
            <w:pPr>
              <w:numPr>
                <w:ilvl w:val="1"/>
                <w:numId w:val="5"/>
              </w:numPr>
              <w:spacing w:line="312" w:lineRule="auto"/>
              <w:contextualSpacing/>
              <w:rPr>
                <w:rFonts w:ascii="Times New Roman" w:hAnsi="Times New Roman" w:cs="Times New Roman"/>
                <w:color w:val="FF0000"/>
                <w:szCs w:val="21"/>
                <w:lang w:val="en-GB"/>
              </w:rPr>
            </w:pPr>
            <w:r>
              <w:rPr>
                <w:rFonts w:ascii="Times New Roman" w:hAnsi="Times New Roman" w:cs="Times New Roman"/>
                <w:color w:val="FF0000"/>
                <w:szCs w:val="21"/>
                <w:lang w:val="en-GB"/>
              </w:rPr>
              <w:t>Alt2: Relative MPL.</w:t>
            </w:r>
          </w:p>
          <w:p>
            <w:pPr>
              <w:numPr>
                <w:ilvl w:val="0"/>
                <w:numId w:val="5"/>
              </w:numPr>
              <w:spacing w:line="312" w:lineRule="auto"/>
              <w:contextualSpacing/>
              <w:rPr>
                <w:rFonts w:ascii="Times New Roman" w:hAnsi="Times New Roman" w:cs="Times New Roman"/>
                <w:szCs w:val="21"/>
                <w:lang w:val="en-GB"/>
              </w:rPr>
            </w:pPr>
            <w:r>
              <w:rPr>
                <w:rFonts w:ascii="Times New Roman" w:hAnsi="Times New Roman" w:cs="Times New Roman"/>
                <w:szCs w:val="21"/>
                <w:lang w:val="en-GB"/>
              </w:rPr>
              <w:t xml:space="preserve">Option 2: </w:t>
            </w:r>
            <w:r>
              <w:rPr>
                <w:rFonts w:ascii="Times New Roman" w:hAnsi="Times New Roman" w:cs="Times New Roman"/>
                <w:strike/>
                <w:color w:val="FF0000"/>
                <w:szCs w:val="21"/>
                <w:lang w:val="en-GB"/>
              </w:rPr>
              <w:t>The target MCL</w:t>
            </w:r>
            <w:r>
              <w:rPr>
                <w:rFonts w:ascii="Times New Roman" w:hAnsi="Times New Roman" w:cs="Times New Roman"/>
                <w:color w:val="FF0000"/>
                <w:szCs w:val="21"/>
                <w:lang w:val="en-GB"/>
              </w:rPr>
              <w:t xml:space="preserve"> An MCL or MCL based metric</w:t>
            </w:r>
            <w:r>
              <w:rPr>
                <w:rFonts w:ascii="Times New Roman" w:hAnsi="Times New Roman" w:cs="Times New Roman"/>
                <w:szCs w:val="21"/>
                <w:lang w:val="en-GB"/>
              </w:rPr>
              <w:t xml:space="preserve"> is considered as the target performance.</w:t>
            </w:r>
          </w:p>
          <w:p>
            <w:pPr>
              <w:numPr>
                <w:ilvl w:val="1"/>
                <w:numId w:val="5"/>
              </w:numPr>
              <w:spacing w:line="312" w:lineRule="auto"/>
              <w:contextualSpacing/>
              <w:rPr>
                <w:rFonts w:ascii="Times New Roman" w:hAnsi="Times New Roman" w:cs="Times New Roman"/>
                <w:szCs w:val="21"/>
                <w:lang w:val="en-GB"/>
              </w:rPr>
            </w:pPr>
            <w:r>
              <w:rPr>
                <w:rFonts w:ascii="Times New Roman" w:hAnsi="Times New Roman" w:cs="Times New Roman"/>
                <w:szCs w:val="21"/>
                <w:lang w:val="en-GB"/>
              </w:rPr>
              <w:t>Alt1: Derived from the target ISD, considering shadow fading margin, penetration loss, etc.</w:t>
            </w:r>
          </w:p>
          <w:p>
            <w:pPr>
              <w:numPr>
                <w:ilvl w:val="1"/>
                <w:numId w:val="5"/>
              </w:numPr>
              <w:spacing w:line="312" w:lineRule="auto"/>
              <w:contextualSpacing/>
              <w:rPr>
                <w:rFonts w:ascii="Times New Roman" w:hAnsi="Times New Roman" w:cs="Times New Roman"/>
                <w:szCs w:val="21"/>
                <w:lang w:val="en-GB"/>
              </w:rPr>
            </w:pPr>
            <w:r>
              <w:rPr>
                <w:rFonts w:ascii="Times New Roman" w:hAnsi="Times New Roman" w:cs="Times New Roman"/>
                <w:szCs w:val="21"/>
                <w:lang w:val="en-GB"/>
              </w:rPr>
              <w:t xml:space="preserve">Alt2: Fixed target MCL, e.g. 147dB for VoIP </w:t>
            </w:r>
            <w:r>
              <w:rPr>
                <w:rFonts w:ascii="Times New Roman" w:hAnsi="Times New Roman" w:cs="Times New Roman"/>
                <w:color w:val="FF0000"/>
                <w:szCs w:val="21"/>
                <w:lang w:val="en-GB"/>
              </w:rPr>
              <w:t>to achieve better performance than other RAT(s).</w:t>
            </w:r>
          </w:p>
          <w:p>
            <w:pPr>
              <w:numPr>
                <w:ilvl w:val="1"/>
                <w:numId w:val="5"/>
              </w:numPr>
              <w:spacing w:line="312" w:lineRule="auto"/>
              <w:contextualSpacing/>
              <w:rPr>
                <w:rFonts w:ascii="Times New Roman" w:hAnsi="Times New Roman" w:cs="Times New Roman"/>
                <w:szCs w:val="21"/>
                <w:lang w:val="en-GB"/>
              </w:rPr>
            </w:pPr>
            <w:r>
              <w:rPr>
                <w:rFonts w:ascii="Times New Roman" w:hAnsi="Times New Roman" w:cs="Times New Roman"/>
                <w:szCs w:val="21"/>
                <w:lang w:val="en-GB"/>
              </w:rPr>
              <w:t>Alt3: Relative MCL</w:t>
            </w:r>
          </w:p>
          <w:p>
            <w:pPr>
              <w:numPr>
                <w:ilvl w:val="0"/>
                <w:numId w:val="5"/>
              </w:numPr>
              <w:spacing w:line="312" w:lineRule="auto"/>
              <w:contextualSpacing/>
              <w:rPr>
                <w:rFonts w:ascii="Times New Roman" w:hAnsi="Times New Roman" w:cs="Times New Roman"/>
                <w:szCs w:val="21"/>
                <w:lang w:val="en-GB"/>
              </w:rPr>
            </w:pPr>
            <w:r>
              <w:rPr>
                <w:rFonts w:ascii="Times New Roman" w:hAnsi="Times New Roman" w:cs="Times New Roman"/>
                <w:szCs w:val="21"/>
              </w:rPr>
              <w:t>If optional SLS is performed, the target performance for SLS is determined by the 5th percentile SINR value in CDF curve for different physical channels</w:t>
            </w:r>
          </w:p>
          <w:p>
            <w:pPr>
              <w:numPr>
                <w:ilvl w:val="0"/>
                <w:numId w:val="5"/>
              </w:numPr>
              <w:spacing w:line="312" w:lineRule="auto"/>
              <w:contextualSpacing/>
              <w:rPr>
                <w:rFonts w:hint="eastAsia" w:ascii="Arial" w:hAnsi="Arial" w:eastAsia="宋体" w:cs="Times New Roman"/>
                <w:vertAlign w:val="baseline"/>
                <w:lang w:val="en-GB"/>
              </w:rPr>
            </w:pPr>
            <w:r>
              <w:rPr>
                <w:rFonts w:ascii="Times New Roman" w:hAnsi="Times New Roman" w:eastAsia="Times New Roman" w:cs="Times New Roman"/>
                <w:sz w:val="20"/>
                <w:szCs w:val="20"/>
                <w:lang w:val="en-GB"/>
              </w:rPr>
              <w:t>Other target performance metrics are not precluded.</w:t>
            </w:r>
          </w:p>
        </w:tc>
      </w:tr>
    </w:tbl>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eastAsia"/>
          <w:lang w:val="en-US" w:eastAsia="zh-CN"/>
        </w:rPr>
      </w:pPr>
      <w:r>
        <w:rPr>
          <w:rFonts w:hint="eastAsia"/>
          <w:lang w:val="en-US" w:eastAsia="zh-CN"/>
        </w:rPr>
        <w:t xml:space="preserve">As discussed above, we prefer to use IMT-2020 based link budget template for LLS based methodology. That is, the target performance should be based on MPL, i.e. Option 1. Furthermore, for each scenario, we would have a target ISD for our deployment. It is possible that the all channels in a specific scenario can all meet the target ISD. While using relative MPL will make we have to enhance some of the channels, regardless of the scenarios. In addition, using relatively MPL needs to determine a benchmark channel. The MPL of this channel is the target MPL which corresponds to a target ISD. Thus, choosing a different benchmark channel is not much different to directly choosing a target ISD. The only thing matters is how to choose the target ISD or which ISD is more typical one. Having said, Alt1, i.e. derived from the target ISD, is more straightforward and preferred. </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lang w:val="en-US" w:eastAsia="zh-CN"/>
        </w:rPr>
      </w:pPr>
      <w:r>
        <w:rPr>
          <w:rFonts w:hint="eastAsia"/>
          <w:lang w:val="en-US" w:eastAsia="zh-CN"/>
        </w:rPr>
        <w:t xml:space="preserve">Since it was agreed that FR1 and FR2 share the same methodology, we have the following proposal.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ascii="Times New Roman" w:hAnsi="Times New Roman" w:eastAsia="宋体" w:cs="Times New Roman"/>
          <w:i/>
          <w:iCs/>
          <w:szCs w:val="21"/>
          <w:lang w:val="en-US" w:eastAsia="zh-CN"/>
        </w:rPr>
      </w:pPr>
      <w:r>
        <w:rPr>
          <w:rFonts w:hint="eastAsia"/>
          <w:b/>
          <w:bCs/>
          <w:i/>
          <w:iCs/>
          <w:sz w:val="20"/>
          <w:szCs w:val="20"/>
          <w:lang w:val="en-US" w:eastAsia="zh-CN"/>
        </w:rPr>
        <w:t xml:space="preserve">Proposal 5: </w:t>
      </w:r>
      <w:r>
        <w:rPr>
          <w:rFonts w:hint="eastAsia"/>
          <w:b w:val="0"/>
          <w:bCs w:val="0"/>
          <w:i/>
          <w:iCs/>
          <w:sz w:val="20"/>
          <w:szCs w:val="20"/>
          <w:lang w:val="en-US" w:eastAsia="zh-CN"/>
        </w:rPr>
        <w:t>For LLS based methodology, t</w:t>
      </w:r>
      <w:r>
        <w:rPr>
          <w:rFonts w:ascii="Times New Roman" w:hAnsi="Times New Roman" w:cs="Times New Roman"/>
          <w:i/>
          <w:iCs/>
          <w:szCs w:val="21"/>
          <w:lang w:val="en-GB"/>
        </w:rPr>
        <w:t>he target path loss is considered as the target performance</w:t>
      </w:r>
      <w:r>
        <w:rPr>
          <w:rFonts w:hint="eastAsia" w:ascii="Times New Roman" w:hAnsi="Times New Roman" w:eastAsia="宋体" w:cs="Times New Roman"/>
          <w:i/>
          <w:iCs/>
          <w:szCs w:val="21"/>
          <w:lang w:val="en-US" w:eastAsia="zh-CN"/>
        </w:rPr>
        <w:t>.</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eastAsia" w:ascii="Times New Roman" w:hAnsi="Times New Roman" w:eastAsia="宋体" w:cs="Times New Roman"/>
          <w:i/>
          <w:iCs/>
          <w:szCs w:val="21"/>
          <w:lang w:val="en-US" w:eastAsia="zh-CN"/>
        </w:rPr>
      </w:pPr>
      <w:r>
        <w:rPr>
          <w:rFonts w:hint="eastAsia" w:ascii="Times New Roman" w:hAnsi="Times New Roman" w:eastAsia="宋体" w:cs="Times New Roman"/>
          <w:i/>
          <w:iCs/>
          <w:szCs w:val="21"/>
          <w:lang w:val="en-US" w:eastAsia="zh-CN"/>
        </w:rPr>
        <w:t>The target path loss is derived from the target ISD.</w:t>
      </w:r>
    </w:p>
    <w:p>
      <w:pPr>
        <w:bidi w:val="0"/>
        <w:rPr>
          <w:rFonts w:hint="eastAsia"/>
          <w:lang w:val="en-US" w:eastAsia="zh-CN"/>
        </w:rPr>
      </w:pPr>
      <w:r>
        <w:rPr>
          <w:rFonts w:hint="eastAsia"/>
          <w:lang w:val="en-US" w:eastAsia="zh-CN"/>
        </w:rPr>
        <w:t xml:space="preserve">As for the detailed target ISD for different scenarios, </w:t>
      </w:r>
      <w:r>
        <w:t>t</w:t>
      </w:r>
      <w:r>
        <w:rPr>
          <w:rFonts w:hint="eastAsia"/>
          <w:lang w:val="en-US" w:eastAsia="zh-CN"/>
        </w:rPr>
        <w:t>he values recommended in</w:t>
      </w:r>
      <w:r>
        <w:t xml:space="preserve"> ITU-R M.2412</w:t>
      </w:r>
      <w:r>
        <w:rPr>
          <w:rFonts w:hint="eastAsia"/>
          <w:lang w:val="en-US" w:eastAsia="zh-CN"/>
        </w:rPr>
        <w:t xml:space="preserve"> [5] and TR 38.802 [6] can be considered. More specifically, the following ISDs are considered.</w:t>
      </w:r>
    </w:p>
    <w:p>
      <w:pPr>
        <w:bidi w:val="0"/>
        <w:jc w:val="center"/>
        <w:rPr>
          <w:rFonts w:hint="default"/>
          <w:lang w:val="en-US" w:eastAsia="zh-CN"/>
        </w:rPr>
      </w:pPr>
      <w:r>
        <w:rPr>
          <w:rFonts w:hint="eastAsia"/>
          <w:lang w:val="en-US" w:eastAsia="zh-CN"/>
        </w:rPr>
        <w:t>Table 1 Target ISD for different scenarios</w:t>
      </w:r>
    </w:p>
    <w:tbl>
      <w:tblPr>
        <w:tblStyle w:val="28"/>
        <w:tblW w:w="68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30"/>
        <w:gridCol w:w="3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0" w:type="dxa"/>
          </w:tcPr>
          <w:p>
            <w:pPr>
              <w:bidi w:val="0"/>
              <w:rPr>
                <w:rFonts w:hint="default"/>
                <w:b/>
                <w:bCs/>
                <w:lang w:val="en-US" w:eastAsia="zh-CN"/>
              </w:rPr>
            </w:pPr>
            <w:r>
              <w:rPr>
                <w:rFonts w:hint="eastAsia"/>
                <w:b/>
                <w:bCs/>
                <w:lang w:val="en-US" w:eastAsia="zh-CN"/>
              </w:rPr>
              <w:t>Scenario</w:t>
            </w:r>
          </w:p>
        </w:tc>
        <w:tc>
          <w:tcPr>
            <w:tcW w:w="3430" w:type="dxa"/>
          </w:tcPr>
          <w:p>
            <w:pPr>
              <w:bidi w:val="0"/>
              <w:rPr>
                <w:rFonts w:hint="default"/>
                <w:b/>
                <w:bCs/>
                <w:lang w:val="en-US" w:eastAsia="zh-CN"/>
              </w:rPr>
            </w:pPr>
            <w:r>
              <w:rPr>
                <w:rFonts w:hint="eastAsia"/>
                <w:b/>
                <w:bCs/>
                <w:lang w:val="en-US" w:eastAsia="zh-CN"/>
              </w:rPr>
              <w:t>Target ISD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Urban for FR1</w:t>
            </w:r>
          </w:p>
        </w:tc>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eastAsia"/>
                <w:lang w:val="en-US" w:eastAsia="zh-CN"/>
              </w:rPr>
            </w:pPr>
            <w:r>
              <w:rPr>
                <w:rFonts w:hint="eastAsia"/>
                <w:lang w:val="en-US" w:eastAsia="zh-CN"/>
              </w:rPr>
              <w:t>Rural for FR1</w:t>
            </w:r>
          </w:p>
        </w:tc>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1732m or 5000m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Extremely long distance rural scenario for FR1</w:t>
            </w:r>
          </w:p>
        </w:tc>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12km or 30km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Dense urban for FR2</w:t>
            </w:r>
          </w:p>
        </w:tc>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Suburban for FR2</w:t>
            </w:r>
          </w:p>
        </w:tc>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default"/>
                <w:lang w:val="en-US" w:eastAsia="zh-CN"/>
              </w:rPr>
            </w:pPr>
            <w:r>
              <w:rPr>
                <w:rFonts w:hint="eastAsia"/>
                <w:lang w:val="en-US" w:eastAsia="zh-CN"/>
              </w:rPr>
              <w:t>Indoor for FR2</w:t>
            </w:r>
          </w:p>
        </w:tc>
        <w:tc>
          <w:tcPr>
            <w:tcW w:w="3430" w:type="dxa"/>
          </w:tcPr>
          <w:p>
            <w:pPr>
              <w:keepNext w:val="0"/>
              <w:keepLines w:val="0"/>
              <w:pageBreakBefore w:val="0"/>
              <w:widowControl/>
              <w:kinsoku/>
              <w:wordWrap/>
              <w:overflowPunct w:val="0"/>
              <w:topLinePunct w:val="0"/>
              <w:autoSpaceDE w:val="0"/>
              <w:autoSpaceDN w:val="0"/>
              <w:bidi w:val="0"/>
              <w:adjustRightInd w:val="0"/>
              <w:snapToGrid w:val="0"/>
              <w:spacing w:after="0"/>
              <w:textAlignment w:val="baseline"/>
              <w:rPr>
                <w:rFonts w:hint="eastAsia"/>
                <w:lang w:val="en-US" w:eastAsia="zh-CN"/>
              </w:rPr>
            </w:pPr>
            <w:r>
              <w:rPr>
                <w:lang w:eastAsia="ja-JP"/>
              </w:rPr>
              <w:t>12</w:t>
            </w:r>
            <w:r>
              <w:rPr>
                <w:rFonts w:hint="eastAsia"/>
                <w:lang w:eastAsia="ja-JP"/>
              </w:rPr>
              <w:t>BS</w:t>
            </w:r>
            <w:r>
              <w:rPr>
                <w:lang w:eastAsia="ja-JP"/>
              </w:rPr>
              <w:t>s per 120m x 50m</w:t>
            </w:r>
          </w:p>
        </w:tc>
      </w:tr>
    </w:tbl>
    <w:p>
      <w:pPr>
        <w:bidi w:val="0"/>
        <w:rPr>
          <w:rFonts w:hint="default"/>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ascii="Times New Roman" w:hAnsi="Times New Roman" w:eastAsia="宋体" w:cs="Times New Roman"/>
          <w:b w:val="0"/>
          <w:bCs w:val="0"/>
          <w:i/>
          <w:iCs/>
          <w:szCs w:val="21"/>
          <w:lang w:val="en-US" w:eastAsia="zh-CN"/>
        </w:rPr>
      </w:pPr>
      <w:r>
        <w:rPr>
          <w:rFonts w:hint="eastAsia"/>
          <w:b/>
          <w:bCs/>
          <w:i/>
          <w:iCs/>
          <w:sz w:val="20"/>
          <w:szCs w:val="20"/>
          <w:lang w:val="en-US" w:eastAsia="zh-CN"/>
        </w:rPr>
        <w:t xml:space="preserve">Proposal 6: </w:t>
      </w:r>
      <w:r>
        <w:rPr>
          <w:rFonts w:hint="eastAsia"/>
          <w:b w:val="0"/>
          <w:bCs w:val="0"/>
          <w:i/>
          <w:iCs/>
          <w:sz w:val="20"/>
          <w:szCs w:val="20"/>
          <w:lang w:val="en-US" w:eastAsia="zh-CN"/>
        </w:rPr>
        <w:t>Adopt Table 1 for</w:t>
      </w:r>
      <w:r>
        <w:rPr>
          <w:rFonts w:hint="eastAsia" w:ascii="Times New Roman" w:hAnsi="Times New Roman" w:eastAsia="宋体" w:cs="Times New Roman"/>
          <w:b w:val="0"/>
          <w:bCs w:val="0"/>
          <w:i/>
          <w:iCs/>
          <w:szCs w:val="21"/>
          <w:lang w:val="en-US" w:eastAsia="zh-CN"/>
        </w:rPr>
        <w:t xml:space="preserve"> the target ISD of different scenarios in FR1 and FR2.</w:t>
      </w:r>
    </w:p>
    <w:p>
      <w:pPr>
        <w:numPr>
          <w:ilvl w:val="0"/>
          <w:numId w:val="0"/>
        </w:numPr>
        <w:spacing w:line="312" w:lineRule="auto"/>
        <w:contextualSpacing/>
        <w:rPr>
          <w:rFonts w:hint="eastAsia" w:ascii="Times New Roman" w:hAnsi="Times New Roman" w:eastAsia="宋体" w:cs="Times New Roman"/>
          <w:i/>
          <w:iCs/>
          <w:szCs w:val="21"/>
          <w:lang w:val="en-US" w:eastAsia="zh-CN"/>
        </w:rPr>
      </w:pPr>
      <w:r>
        <w:rPr>
          <w:rFonts w:hint="eastAsia" w:ascii="Times New Roman" w:hAnsi="Times New Roman" w:eastAsia="宋体" w:cs="Times New Roman"/>
          <w:b w:val="0"/>
          <w:bCs w:val="0"/>
          <w:i w:val="0"/>
          <w:iCs w:val="0"/>
          <w:szCs w:val="21"/>
          <w:lang w:val="en-US" w:eastAsia="zh-CN"/>
        </w:rPr>
        <w:t xml:space="preserve">For </w:t>
      </w:r>
      <w:r>
        <w:rPr>
          <w:rFonts w:ascii="Times New Roman" w:hAnsi="Times New Roman" w:cs="Times New Roman"/>
          <w:i w:val="0"/>
          <w:iCs w:val="0"/>
          <w:szCs w:val="21"/>
        </w:rPr>
        <w:t>SLS</w:t>
      </w:r>
      <w:r>
        <w:rPr>
          <w:rFonts w:hint="eastAsia" w:ascii="Times New Roman" w:hAnsi="Times New Roman" w:eastAsia="宋体" w:cs="Times New Roman"/>
          <w:i w:val="0"/>
          <w:iCs w:val="0"/>
          <w:szCs w:val="21"/>
          <w:lang w:val="en-US" w:eastAsia="zh-CN"/>
        </w:rPr>
        <w:t xml:space="preserve"> based methodology, as discussed in [7], </w:t>
      </w:r>
      <w:r>
        <w:rPr>
          <w:rFonts w:ascii="Times New Roman" w:hAnsi="Times New Roman" w:cs="Times New Roman"/>
          <w:i w:val="0"/>
          <w:iCs w:val="0"/>
          <w:szCs w:val="21"/>
        </w:rPr>
        <w:t>the target performance for SLS is determined by the 5th percentile SINR value in CDF curve for different physical channels</w:t>
      </w:r>
      <w:r>
        <w:rPr>
          <w:rFonts w:hint="eastAsia" w:ascii="Times New Roman" w:hAnsi="Times New Roman" w:eastAsia="宋体" w:cs="Times New Roman"/>
          <w:i w:val="0"/>
          <w:iCs w:val="0"/>
          <w:szCs w:val="21"/>
          <w:lang w:val="en-US" w:eastAsia="zh-CN"/>
        </w:rPr>
        <w:t>.</w:t>
      </w:r>
      <w:r>
        <w:rPr>
          <w:rFonts w:hint="eastAsia" w:ascii="Times New Roman" w:hAnsi="Times New Roman" w:eastAsia="宋体" w:cs="Times New Roman"/>
          <w:i/>
          <w:iCs/>
          <w:szCs w:val="21"/>
          <w:lang w:val="en-US" w:eastAsia="zh-CN"/>
        </w:rPr>
        <w:t xml:space="preserve"> </w:t>
      </w:r>
    </w:p>
    <w:p>
      <w:pPr>
        <w:numPr>
          <w:ilvl w:val="0"/>
          <w:numId w:val="0"/>
        </w:numPr>
        <w:spacing w:line="312" w:lineRule="auto"/>
        <w:contextualSpacing/>
        <w:rPr>
          <w:rFonts w:hint="eastAsia" w:ascii="Times New Roman" w:hAnsi="Times New Roman" w:cs="Times New Roman"/>
          <w:szCs w:val="21"/>
          <w:lang w:val="en-US" w:eastAsia="zh-CN"/>
        </w:rPr>
      </w:pPr>
      <w:r>
        <w:rPr>
          <w:rFonts w:hint="eastAsia"/>
          <w:b/>
          <w:bCs/>
          <w:i/>
          <w:iCs/>
          <w:sz w:val="20"/>
          <w:szCs w:val="20"/>
          <w:lang w:val="en-US" w:eastAsia="zh-CN"/>
        </w:rPr>
        <w:t xml:space="preserve">Proposal 7: </w:t>
      </w:r>
      <w:r>
        <w:rPr>
          <w:rFonts w:hint="eastAsia" w:ascii="Times New Roman" w:hAnsi="Times New Roman" w:eastAsia="宋体" w:cs="Times New Roman"/>
          <w:b w:val="0"/>
          <w:bCs w:val="0"/>
          <w:i/>
          <w:iCs/>
          <w:szCs w:val="21"/>
          <w:lang w:val="en-US" w:eastAsia="zh-CN"/>
        </w:rPr>
        <w:t xml:space="preserve">For </w:t>
      </w:r>
      <w:r>
        <w:rPr>
          <w:rFonts w:ascii="Times New Roman" w:hAnsi="Times New Roman" w:cs="Times New Roman"/>
          <w:i/>
          <w:iCs/>
          <w:szCs w:val="21"/>
        </w:rPr>
        <w:t>SLS</w:t>
      </w:r>
      <w:r>
        <w:rPr>
          <w:rFonts w:hint="eastAsia" w:ascii="Times New Roman" w:hAnsi="Times New Roman" w:eastAsia="宋体" w:cs="Times New Roman"/>
          <w:i/>
          <w:iCs/>
          <w:szCs w:val="21"/>
          <w:lang w:val="en-US" w:eastAsia="zh-CN"/>
        </w:rPr>
        <w:t xml:space="preserve"> based methodology, </w:t>
      </w:r>
      <w:r>
        <w:rPr>
          <w:rFonts w:ascii="Times New Roman" w:hAnsi="Times New Roman" w:cs="Times New Roman"/>
          <w:i/>
          <w:iCs/>
          <w:szCs w:val="21"/>
        </w:rPr>
        <w:t>the target performance for SLS is determined by the 5th percentile SINR value in CDF curve for different physical channels</w:t>
      </w:r>
      <w:r>
        <w:rPr>
          <w:rFonts w:hint="eastAsia" w:ascii="Times New Roman" w:hAnsi="Times New Roman" w:eastAsia="宋体" w:cs="Times New Roman"/>
          <w:i/>
          <w:iCs/>
          <w:szCs w:val="21"/>
          <w:lang w:val="en-US" w:eastAsia="zh-CN"/>
        </w:rPr>
        <w:t xml:space="preserve">. </w:t>
      </w:r>
    </w:p>
    <w:p>
      <w:pPr>
        <w:pStyle w:val="2"/>
        <w:spacing w:before="180"/>
        <w:rPr>
          <w:lang w:val="en-US"/>
        </w:rPr>
      </w:pPr>
      <w:r>
        <w:rPr>
          <w:rFonts w:hint="eastAsia"/>
          <w:lang w:val="en-US"/>
        </w:rPr>
        <w:t>Discu</w:t>
      </w:r>
      <w:r>
        <w:rPr>
          <w:rFonts w:hint="eastAsia" w:ascii="Arial" w:hAnsi="Arial" w:eastAsia="宋体" w:cs="Times New Roman"/>
          <w:lang w:val="en-US"/>
        </w:rPr>
        <w:t>ssion</w:t>
      </w:r>
      <w:r>
        <w:rPr>
          <w:rFonts w:hint="eastAsia" w:ascii="Arial" w:hAnsi="Arial" w:eastAsia="宋体" w:cs="Times New Roman"/>
          <w:lang w:val="en-US" w:eastAsia="zh-CN"/>
        </w:rPr>
        <w:t xml:space="preserve"> on SLS simulation assumptions</w:t>
      </w:r>
    </w:p>
    <w:p>
      <w:pPr>
        <w:rPr>
          <w:rFonts w:hint="eastAsia" w:eastAsia="宋体"/>
          <w:lang w:val="en-US" w:eastAsia="zh-CN"/>
        </w:rPr>
      </w:pPr>
      <w:r>
        <w:rPr>
          <w:rFonts w:hint="eastAsia" w:eastAsia="宋体"/>
          <w:lang w:val="en-US" w:eastAsia="zh-CN"/>
        </w:rPr>
        <w:t xml:space="preserve">It has been agreed that SLS is an optional evaluation methodology, and the </w:t>
      </w:r>
      <w:r>
        <w:t>simulation assumptions for SLS are up to companies</w:t>
      </w:r>
      <w:r>
        <w:rPr>
          <w:rFonts w:hint="default" w:eastAsia="宋体"/>
          <w:lang w:val="en-US" w:eastAsia="zh-CN"/>
        </w:rPr>
        <w:t>’</w:t>
      </w:r>
      <w:r>
        <w:rPr>
          <w:rFonts w:hint="eastAsia" w:eastAsia="宋体"/>
          <w:lang w:val="en-US" w:eastAsia="zh-CN"/>
        </w:rPr>
        <w:t xml:space="preserve"> </w:t>
      </w:r>
      <w:r>
        <w:t>reports.</w:t>
      </w:r>
      <w:r>
        <w:rPr>
          <w:rFonts w:hint="eastAsia" w:eastAsia="宋体"/>
          <w:lang w:val="en-US" w:eastAsia="zh-CN"/>
        </w:rPr>
        <w:t xml:space="preserve"> Actually, most of the </w:t>
      </w:r>
      <w:r>
        <w:t>simulation assumptions</w:t>
      </w:r>
      <w:r>
        <w:rPr>
          <w:rFonts w:hint="eastAsia" w:eastAsia="宋体"/>
          <w:lang w:val="en-US" w:eastAsia="zh-CN"/>
        </w:rPr>
        <w:t xml:space="preserve"> </w:t>
      </w:r>
      <w:r>
        <w:t>for SLS</w:t>
      </w:r>
      <w:r>
        <w:rPr>
          <w:rFonts w:hint="eastAsia" w:eastAsia="宋体"/>
          <w:lang w:val="en-US" w:eastAsia="zh-CN"/>
        </w:rPr>
        <w:t>, such as antenna configuration, gNB/UE heights and ISD etc., can reuse the ones for LLS or in link budget template. Only very few SLS specific parameters haven</w:t>
      </w:r>
      <w:r>
        <w:rPr>
          <w:rFonts w:hint="default" w:eastAsia="宋体"/>
          <w:lang w:val="en-US" w:eastAsia="zh-CN"/>
        </w:rPr>
        <w:t>’</w:t>
      </w:r>
      <w:r>
        <w:rPr>
          <w:rFonts w:hint="eastAsia" w:eastAsia="宋体"/>
          <w:lang w:val="en-US" w:eastAsia="zh-CN"/>
        </w:rPr>
        <w:t>t been discussed. In Table 2, we provide our assumptions for these parameters.</w:t>
      </w:r>
    </w:p>
    <w:p>
      <w:pPr>
        <w:jc w:val="center"/>
        <w:rPr>
          <w:rFonts w:hint="eastAsia" w:eastAsia="宋体"/>
          <w:lang w:val="en-US" w:eastAsia="zh-CN"/>
        </w:rPr>
      </w:pPr>
      <w:r>
        <w:rPr>
          <w:rFonts w:hint="eastAsia" w:eastAsia="宋体"/>
          <w:lang w:val="en-US" w:eastAsia="zh-CN"/>
        </w:rPr>
        <w:t>Table 2 SLS specific parameters</w:t>
      </w:r>
    </w:p>
    <w:tbl>
      <w:tblPr>
        <w:tblStyle w:val="27"/>
        <w:tblW w:w="9341" w:type="dxa"/>
        <w:tblCellSpacing w:w="0" w:type="dxa"/>
        <w:tblInd w:w="155" w:type="dxa"/>
        <w:tblLayout w:type="fixed"/>
        <w:tblCellMar>
          <w:top w:w="0" w:type="dxa"/>
          <w:left w:w="0" w:type="dxa"/>
          <w:bottom w:w="0" w:type="dxa"/>
          <w:right w:w="0" w:type="dxa"/>
        </w:tblCellMar>
      </w:tblPr>
      <w:tblGrid>
        <w:gridCol w:w="1823"/>
        <w:gridCol w:w="4006"/>
        <w:gridCol w:w="3512"/>
      </w:tblGrid>
      <w:tr>
        <w:tblPrEx>
          <w:tblLayout w:type="fixed"/>
          <w:tblCellMar>
            <w:top w:w="0" w:type="dxa"/>
            <w:left w:w="0" w:type="dxa"/>
            <w:bottom w:w="0" w:type="dxa"/>
            <w:right w:w="0" w:type="dxa"/>
          </w:tblCellMar>
        </w:tblPrEx>
        <w:trPr>
          <w:trHeight w:val="160" w:hRule="atLeast"/>
          <w:tblCellSpacing w:w="0" w:type="dxa"/>
        </w:trPr>
        <w:tc>
          <w:tcPr>
            <w:tcW w:w="1823" w:type="dxa"/>
            <w:tcBorders>
              <w:top w:val="single" w:color="auto" w:sz="4" w:space="0"/>
              <w:left w:val="single" w:color="000000" w:sz="8" w:space="0"/>
              <w:bottom w:val="single" w:color="auto" w:sz="4" w:space="0"/>
              <w:right w:val="single" w:color="auto" w:sz="4" w:space="0"/>
            </w:tcBorders>
            <w:shd w:val="clear" w:color="auto" w:fill="FFFFFF"/>
            <w:tcMar>
              <w:left w:w="108" w:type="dxa"/>
              <w:right w:w="108" w:type="dxa"/>
            </w:tcMar>
            <w:vAlign w:val="center"/>
          </w:tcPr>
          <w:p>
            <w:pPr>
              <w:pStyle w:val="25"/>
              <w:rPr>
                <w:color w:val="000000"/>
                <w:sz w:val="20"/>
                <w:szCs w:val="20"/>
              </w:rPr>
            </w:pPr>
            <w:r>
              <w:rPr>
                <w:b/>
                <w:color w:val="000000"/>
                <w:sz w:val="20"/>
                <w:szCs w:val="20"/>
              </w:rPr>
              <w:t>Parameters</w:t>
            </w:r>
          </w:p>
        </w:tc>
        <w:tc>
          <w:tcPr>
            <w:tcW w:w="4006"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pStyle w:val="25"/>
              <w:rPr>
                <w:rFonts w:hint="default" w:eastAsia="宋体"/>
                <w:color w:val="000000"/>
                <w:sz w:val="20"/>
                <w:szCs w:val="20"/>
                <w:lang w:val="en-US" w:eastAsia="zh-CN"/>
              </w:rPr>
            </w:pPr>
            <w:r>
              <w:rPr>
                <w:b/>
                <w:color w:val="000000"/>
                <w:sz w:val="20"/>
                <w:szCs w:val="20"/>
              </w:rPr>
              <w:t>Urban</w:t>
            </w:r>
            <w:r>
              <w:rPr>
                <w:rFonts w:hint="eastAsia"/>
                <w:b/>
                <w:color w:val="000000"/>
                <w:sz w:val="20"/>
                <w:szCs w:val="20"/>
                <w:lang w:val="en-US" w:eastAsia="zh-CN"/>
              </w:rPr>
              <w:t>/Rural</w:t>
            </w:r>
            <w:r>
              <w:rPr>
                <w:rFonts w:hint="eastAsia"/>
                <w:b/>
                <w:color w:val="000000"/>
                <w:sz w:val="20"/>
                <w:szCs w:val="20"/>
              </w:rPr>
              <w:t xml:space="preserve"> </w:t>
            </w:r>
            <w:r>
              <w:rPr>
                <w:b/>
                <w:color w:val="000000"/>
                <w:sz w:val="20"/>
                <w:szCs w:val="20"/>
              </w:rPr>
              <w:t>scenario</w:t>
            </w:r>
            <w:r>
              <w:rPr>
                <w:rFonts w:hint="eastAsia"/>
                <w:b/>
                <w:color w:val="000000"/>
                <w:sz w:val="20"/>
                <w:szCs w:val="20"/>
                <w:lang w:val="en-US" w:eastAsia="zh-CN"/>
              </w:rPr>
              <w:t xml:space="preserve"> for FR1 </w:t>
            </w:r>
          </w:p>
        </w:tc>
        <w:tc>
          <w:tcPr>
            <w:tcW w:w="3512"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pStyle w:val="25"/>
              <w:rPr>
                <w:rFonts w:hint="default" w:eastAsia="宋体"/>
                <w:color w:val="000000"/>
                <w:sz w:val="20"/>
                <w:szCs w:val="20"/>
                <w:lang w:val="en-US" w:eastAsia="zh-CN"/>
              </w:rPr>
            </w:pPr>
            <w:r>
              <w:rPr>
                <w:b/>
                <w:color w:val="000000"/>
                <w:sz w:val="20"/>
                <w:szCs w:val="20"/>
              </w:rPr>
              <w:t>Urban</w:t>
            </w:r>
            <w:r>
              <w:rPr>
                <w:rFonts w:hint="eastAsia"/>
                <w:b/>
                <w:color w:val="000000"/>
                <w:sz w:val="20"/>
                <w:szCs w:val="20"/>
                <w:lang w:val="en-US" w:eastAsia="zh-CN"/>
              </w:rPr>
              <w:t xml:space="preserve">/Indoor </w:t>
            </w:r>
            <w:r>
              <w:rPr>
                <w:b/>
                <w:color w:val="000000"/>
                <w:sz w:val="20"/>
                <w:szCs w:val="20"/>
              </w:rPr>
              <w:t>scenario</w:t>
            </w:r>
            <w:r>
              <w:rPr>
                <w:rFonts w:hint="eastAsia"/>
                <w:b/>
                <w:color w:val="000000"/>
                <w:sz w:val="20"/>
                <w:szCs w:val="20"/>
                <w:lang w:val="en-US" w:eastAsia="zh-CN"/>
              </w:rPr>
              <w:t xml:space="preserve"> for FR2</w:t>
            </w:r>
          </w:p>
        </w:tc>
      </w:tr>
      <w:tr>
        <w:tblPrEx>
          <w:tblLayout w:type="fixed"/>
          <w:tblCellMar>
            <w:top w:w="0" w:type="dxa"/>
            <w:left w:w="0" w:type="dxa"/>
            <w:bottom w:w="0" w:type="dxa"/>
            <w:right w:w="0" w:type="dxa"/>
          </w:tblCellMar>
        </w:tblPrEx>
        <w:trPr>
          <w:trHeight w:val="160" w:hRule="atLeast"/>
          <w:tblCellSpacing w:w="0" w:type="dxa"/>
        </w:trPr>
        <w:tc>
          <w:tcPr>
            <w:tcW w:w="1823"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top"/>
          </w:tcPr>
          <w:p>
            <w:pPr>
              <w:bidi w:val="0"/>
            </w:pPr>
            <w:r>
              <w:t>Layout</w:t>
            </w:r>
          </w:p>
        </w:tc>
        <w:tc>
          <w:tcPr>
            <w:tcW w:w="4006"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top"/>
          </w:tcPr>
          <w:p>
            <w:pPr>
              <w:bidi w:val="0"/>
            </w:pPr>
            <w:r>
              <w:t>Single</w:t>
            </w:r>
            <w:r>
              <w:rPr>
                <w:rFonts w:hint="eastAsia"/>
              </w:rPr>
              <w:t xml:space="preserve"> </w:t>
            </w:r>
            <w:r>
              <w:t>layer</w:t>
            </w:r>
            <w:r>
              <w:rPr>
                <w:rFonts w:hint="eastAsia"/>
              </w:rPr>
              <w:t xml:space="preserve"> </w:t>
            </w:r>
            <w:r>
              <w:t>-</w:t>
            </w:r>
            <w:r>
              <w:rPr>
                <w:rFonts w:hint="eastAsia"/>
              </w:rPr>
              <w:t xml:space="preserve"> </w:t>
            </w:r>
            <w:r>
              <w:t>Macro</w:t>
            </w:r>
            <w:r>
              <w:rPr>
                <w:rFonts w:hint="eastAsia"/>
              </w:rPr>
              <w:t xml:space="preserve"> </w:t>
            </w:r>
            <w:r>
              <w:t>layer:</w:t>
            </w:r>
            <w:r>
              <w:rPr>
                <w:rFonts w:hint="eastAsia"/>
              </w:rPr>
              <w:t xml:space="preserve"> </w:t>
            </w:r>
            <w:r>
              <w:t>Hex.</w:t>
            </w:r>
            <w:r>
              <w:rPr>
                <w:rFonts w:hint="eastAsia"/>
              </w:rPr>
              <w:t xml:space="preserve"> </w:t>
            </w:r>
            <w:r>
              <w:t>Grid</w:t>
            </w:r>
          </w:p>
        </w:tc>
        <w:tc>
          <w:tcPr>
            <w:tcW w:w="3512"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bidi w:val="0"/>
              <w:rPr>
                <w:lang w:eastAsia="ja-JP"/>
              </w:rPr>
            </w:pPr>
            <w:r>
              <w:rPr>
                <w:rFonts w:hint="eastAsia" w:eastAsia="宋体"/>
                <w:lang w:val="en-US" w:eastAsia="zh-CN"/>
              </w:rPr>
              <w:t xml:space="preserve">Urban: </w:t>
            </w:r>
            <w:r>
              <w:t>Single</w:t>
            </w:r>
            <w:r>
              <w:rPr>
                <w:rFonts w:hint="eastAsia"/>
              </w:rPr>
              <w:t xml:space="preserve"> </w:t>
            </w:r>
            <w:r>
              <w:t>layer</w:t>
            </w:r>
            <w:r>
              <w:rPr>
                <w:rFonts w:hint="eastAsia"/>
              </w:rPr>
              <w:t xml:space="preserve"> </w:t>
            </w:r>
            <w:r>
              <w:t>-</w:t>
            </w:r>
            <w:r>
              <w:rPr>
                <w:rFonts w:hint="eastAsia"/>
              </w:rPr>
              <w:t xml:space="preserve"> </w:t>
            </w:r>
            <w:r>
              <w:t>Macro</w:t>
            </w:r>
            <w:r>
              <w:rPr>
                <w:rFonts w:hint="eastAsia"/>
              </w:rPr>
              <w:t xml:space="preserve"> </w:t>
            </w:r>
            <w:r>
              <w:t>layer:</w:t>
            </w:r>
            <w:r>
              <w:rPr>
                <w:rFonts w:hint="eastAsia"/>
              </w:rPr>
              <w:t xml:space="preserve"> </w:t>
            </w:r>
            <w:r>
              <w:t>Hex.</w:t>
            </w:r>
            <w:r>
              <w:rPr>
                <w:rFonts w:hint="eastAsia"/>
              </w:rPr>
              <w:t xml:space="preserve"> </w:t>
            </w:r>
            <w:r>
              <w:t>Grid</w:t>
            </w:r>
          </w:p>
          <w:p>
            <w:pPr>
              <w:bidi w:val="0"/>
              <w:rPr>
                <w:rFonts w:hint="eastAsia"/>
                <w:lang w:val="en-US" w:eastAsia="zh-CN"/>
              </w:rPr>
            </w:pPr>
            <w:r>
              <w:rPr>
                <w:rFonts w:hint="eastAsia" w:eastAsia="宋体"/>
                <w:lang w:val="en-US" w:eastAsia="zh-CN"/>
              </w:rPr>
              <w:t xml:space="preserve">Indoor: </w:t>
            </w:r>
            <w:r>
              <w:rPr>
                <w:lang w:eastAsia="ja-JP"/>
              </w:rPr>
              <w:t>12</w:t>
            </w:r>
            <w:r>
              <w:rPr>
                <w:rFonts w:hint="eastAsia"/>
                <w:lang w:eastAsia="ja-JP"/>
              </w:rPr>
              <w:t>BS</w:t>
            </w:r>
            <w:r>
              <w:rPr>
                <w:lang w:eastAsia="ja-JP"/>
              </w:rPr>
              <w:t>s per 120m x 50m</w:t>
            </w:r>
          </w:p>
        </w:tc>
      </w:tr>
      <w:tr>
        <w:tblPrEx>
          <w:tblLayout w:type="fixed"/>
          <w:tblCellMar>
            <w:top w:w="0" w:type="dxa"/>
            <w:left w:w="0" w:type="dxa"/>
            <w:bottom w:w="0" w:type="dxa"/>
            <w:right w:w="0" w:type="dxa"/>
          </w:tblCellMar>
        </w:tblPrEx>
        <w:trPr>
          <w:trHeight w:val="160" w:hRule="atLeast"/>
          <w:tblCellSpacing w:w="0" w:type="dxa"/>
        </w:trPr>
        <w:tc>
          <w:tcPr>
            <w:tcW w:w="1823"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top"/>
          </w:tcPr>
          <w:p>
            <w:pPr>
              <w:bidi w:val="0"/>
            </w:pPr>
            <w:r>
              <w:rPr>
                <w:color w:val="000000"/>
                <w:sz w:val="20"/>
                <w:szCs w:val="20"/>
              </w:rPr>
              <w:t>Channel</w:t>
            </w:r>
            <w:r>
              <w:rPr>
                <w:rFonts w:hint="eastAsia"/>
                <w:color w:val="000000"/>
                <w:sz w:val="20"/>
                <w:szCs w:val="20"/>
              </w:rPr>
              <w:t xml:space="preserve"> </w:t>
            </w:r>
            <w:r>
              <w:rPr>
                <w:color w:val="000000"/>
                <w:sz w:val="20"/>
                <w:szCs w:val="20"/>
              </w:rPr>
              <w:t>model</w:t>
            </w:r>
            <w:r>
              <w:rPr>
                <w:rFonts w:hint="eastAsia"/>
                <w:color w:val="000000"/>
                <w:sz w:val="20"/>
                <w:szCs w:val="20"/>
              </w:rPr>
              <w:t xml:space="preserve"> </w:t>
            </w:r>
          </w:p>
        </w:tc>
        <w:tc>
          <w:tcPr>
            <w:tcW w:w="4006"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top"/>
          </w:tcPr>
          <w:p>
            <w:pPr>
              <w:bidi w:val="0"/>
              <w:rPr>
                <w:color w:val="000000"/>
                <w:sz w:val="20"/>
                <w:szCs w:val="20"/>
              </w:rPr>
            </w:pPr>
            <w:r>
              <w:rPr>
                <w:color w:val="000000"/>
                <w:sz w:val="20"/>
                <w:szCs w:val="20"/>
              </w:rPr>
              <w:t>UMa</w:t>
            </w:r>
            <w:r>
              <w:rPr>
                <w:rFonts w:hint="eastAsia"/>
                <w:color w:val="000000"/>
                <w:sz w:val="20"/>
                <w:szCs w:val="20"/>
              </w:rPr>
              <w:t xml:space="preserve"> </w:t>
            </w:r>
            <w:r>
              <w:rPr>
                <w:color w:val="000000"/>
                <w:sz w:val="20"/>
                <w:szCs w:val="20"/>
              </w:rPr>
              <w:t>in</w:t>
            </w:r>
            <w:r>
              <w:rPr>
                <w:rFonts w:hint="eastAsia"/>
                <w:color w:val="000000"/>
                <w:sz w:val="20"/>
                <w:szCs w:val="20"/>
              </w:rPr>
              <w:t xml:space="preserve"> </w:t>
            </w:r>
            <w:r>
              <w:rPr>
                <w:color w:val="000000"/>
                <w:sz w:val="20"/>
                <w:szCs w:val="20"/>
              </w:rPr>
              <w:t>TR</w:t>
            </w:r>
            <w:r>
              <w:rPr>
                <w:rFonts w:hint="eastAsia"/>
                <w:color w:val="000000"/>
                <w:sz w:val="20"/>
                <w:szCs w:val="20"/>
              </w:rPr>
              <w:t xml:space="preserve"> </w:t>
            </w:r>
            <w:r>
              <w:rPr>
                <w:color w:val="000000"/>
                <w:sz w:val="20"/>
                <w:szCs w:val="20"/>
              </w:rPr>
              <w:t>38.901</w:t>
            </w:r>
          </w:p>
          <w:p>
            <w:pPr>
              <w:bidi w:val="0"/>
              <w:rPr>
                <w:color w:val="000000"/>
                <w:sz w:val="20"/>
                <w:szCs w:val="20"/>
              </w:rPr>
            </w:pPr>
            <w:r>
              <w:rPr>
                <w:color w:val="000000"/>
                <w:sz w:val="20"/>
                <w:szCs w:val="20"/>
              </w:rPr>
              <w:t>RMa</w:t>
            </w:r>
            <w:r>
              <w:rPr>
                <w:rFonts w:hint="eastAsia"/>
                <w:color w:val="000000"/>
                <w:sz w:val="20"/>
                <w:szCs w:val="20"/>
              </w:rPr>
              <w:t xml:space="preserve"> </w:t>
            </w:r>
            <w:r>
              <w:rPr>
                <w:color w:val="000000"/>
                <w:sz w:val="20"/>
                <w:szCs w:val="20"/>
              </w:rPr>
              <w:t>in</w:t>
            </w:r>
            <w:r>
              <w:rPr>
                <w:rFonts w:hint="eastAsia"/>
                <w:color w:val="000000"/>
                <w:sz w:val="20"/>
                <w:szCs w:val="20"/>
              </w:rPr>
              <w:t xml:space="preserve"> </w:t>
            </w:r>
            <w:r>
              <w:rPr>
                <w:color w:val="000000"/>
                <w:sz w:val="20"/>
                <w:szCs w:val="20"/>
              </w:rPr>
              <w:t>TR</w:t>
            </w:r>
            <w:r>
              <w:rPr>
                <w:rFonts w:hint="eastAsia"/>
                <w:color w:val="000000"/>
                <w:sz w:val="20"/>
                <w:szCs w:val="20"/>
              </w:rPr>
              <w:t xml:space="preserve"> </w:t>
            </w:r>
            <w:r>
              <w:rPr>
                <w:color w:val="000000"/>
                <w:sz w:val="20"/>
                <w:szCs w:val="20"/>
              </w:rPr>
              <w:t>38.901</w:t>
            </w:r>
          </w:p>
        </w:tc>
        <w:tc>
          <w:tcPr>
            <w:tcW w:w="3512"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bidi w:val="0"/>
              <w:rPr>
                <w:color w:val="000000"/>
                <w:sz w:val="20"/>
                <w:szCs w:val="20"/>
              </w:rPr>
            </w:pPr>
            <w:r>
              <w:rPr>
                <w:color w:val="000000"/>
                <w:sz w:val="20"/>
                <w:szCs w:val="20"/>
              </w:rPr>
              <w:t>UMa</w:t>
            </w:r>
            <w:r>
              <w:rPr>
                <w:rFonts w:hint="eastAsia"/>
                <w:color w:val="000000"/>
                <w:sz w:val="20"/>
                <w:szCs w:val="20"/>
              </w:rPr>
              <w:t xml:space="preserve"> </w:t>
            </w:r>
            <w:r>
              <w:rPr>
                <w:color w:val="000000"/>
                <w:sz w:val="20"/>
                <w:szCs w:val="20"/>
              </w:rPr>
              <w:t>in</w:t>
            </w:r>
            <w:r>
              <w:rPr>
                <w:rFonts w:hint="eastAsia"/>
                <w:color w:val="000000"/>
                <w:sz w:val="20"/>
                <w:szCs w:val="20"/>
              </w:rPr>
              <w:t xml:space="preserve"> </w:t>
            </w:r>
            <w:r>
              <w:rPr>
                <w:color w:val="000000"/>
                <w:sz w:val="20"/>
                <w:szCs w:val="20"/>
              </w:rPr>
              <w:t>TR</w:t>
            </w:r>
            <w:r>
              <w:rPr>
                <w:rFonts w:hint="eastAsia"/>
                <w:color w:val="000000"/>
                <w:sz w:val="20"/>
                <w:szCs w:val="20"/>
              </w:rPr>
              <w:t xml:space="preserve"> </w:t>
            </w:r>
            <w:r>
              <w:rPr>
                <w:color w:val="000000"/>
                <w:sz w:val="20"/>
                <w:szCs w:val="20"/>
              </w:rPr>
              <w:t>38.901</w:t>
            </w:r>
          </w:p>
          <w:p>
            <w:pPr>
              <w:bidi w:val="0"/>
              <w:rPr>
                <w:color w:val="000000"/>
                <w:sz w:val="20"/>
                <w:szCs w:val="20"/>
                <w:lang w:eastAsia="ja-JP"/>
              </w:rPr>
            </w:pPr>
            <w:r>
              <w:rPr>
                <w:rFonts w:hint="eastAsia"/>
                <w:color w:val="000000"/>
                <w:sz w:val="20"/>
                <w:szCs w:val="20"/>
                <w:lang w:val="en-US" w:eastAsia="zh-CN"/>
              </w:rPr>
              <w:t xml:space="preserve">Indoor-office </w:t>
            </w:r>
            <w:r>
              <w:rPr>
                <w:color w:val="000000"/>
                <w:sz w:val="20"/>
                <w:szCs w:val="20"/>
              </w:rPr>
              <w:t>in</w:t>
            </w:r>
            <w:r>
              <w:rPr>
                <w:rFonts w:hint="eastAsia"/>
                <w:color w:val="000000"/>
                <w:sz w:val="20"/>
                <w:szCs w:val="20"/>
              </w:rPr>
              <w:t xml:space="preserve"> </w:t>
            </w:r>
            <w:r>
              <w:rPr>
                <w:color w:val="000000"/>
                <w:sz w:val="20"/>
                <w:szCs w:val="20"/>
              </w:rPr>
              <w:t>TR</w:t>
            </w:r>
            <w:r>
              <w:rPr>
                <w:rFonts w:hint="eastAsia"/>
                <w:color w:val="000000"/>
                <w:sz w:val="20"/>
                <w:szCs w:val="20"/>
              </w:rPr>
              <w:t xml:space="preserve"> </w:t>
            </w:r>
            <w:r>
              <w:rPr>
                <w:color w:val="000000"/>
                <w:sz w:val="20"/>
                <w:szCs w:val="20"/>
              </w:rPr>
              <w:t>38.901</w:t>
            </w:r>
          </w:p>
        </w:tc>
      </w:tr>
      <w:tr>
        <w:tblPrEx>
          <w:tblLayout w:type="fixed"/>
          <w:tblCellMar>
            <w:top w:w="0" w:type="dxa"/>
            <w:left w:w="0" w:type="dxa"/>
            <w:bottom w:w="0" w:type="dxa"/>
            <w:right w:w="0" w:type="dxa"/>
          </w:tblCellMar>
        </w:tblPrEx>
        <w:trPr>
          <w:trHeight w:val="160" w:hRule="atLeast"/>
          <w:tblCellSpacing w:w="0" w:type="dxa"/>
        </w:trPr>
        <w:tc>
          <w:tcPr>
            <w:tcW w:w="1823"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top"/>
          </w:tcPr>
          <w:p>
            <w:pPr>
              <w:pStyle w:val="25"/>
            </w:pPr>
            <w:r>
              <w:rPr>
                <w:color w:val="000000"/>
                <w:sz w:val="20"/>
                <w:szCs w:val="20"/>
              </w:rPr>
              <w:t>Min</w:t>
            </w:r>
            <w:r>
              <w:rPr>
                <w:rFonts w:hint="eastAsia"/>
                <w:color w:val="000000"/>
                <w:sz w:val="20"/>
                <w:szCs w:val="20"/>
              </w:rPr>
              <w:t xml:space="preserve"> </w:t>
            </w:r>
            <w:r>
              <w:rPr>
                <w:color w:val="000000"/>
                <w:sz w:val="20"/>
                <w:szCs w:val="20"/>
              </w:rPr>
              <w:t>distance</w:t>
            </w:r>
            <w:r>
              <w:rPr>
                <w:rFonts w:hint="eastAsia"/>
                <w:color w:val="000000"/>
                <w:sz w:val="20"/>
                <w:szCs w:val="20"/>
              </w:rPr>
              <w:t xml:space="preserve"> </w:t>
            </w:r>
            <w:r>
              <w:rPr>
                <w:color w:val="000000"/>
                <w:sz w:val="20"/>
                <w:szCs w:val="20"/>
              </w:rPr>
              <w:t>of</w:t>
            </w:r>
            <w:r>
              <w:rPr>
                <w:rFonts w:hint="eastAsia"/>
                <w:color w:val="000000"/>
                <w:sz w:val="20"/>
                <w:szCs w:val="20"/>
              </w:rPr>
              <w:t xml:space="preserve"> </w:t>
            </w:r>
            <w:r>
              <w:rPr>
                <w:color w:val="000000"/>
                <w:sz w:val="20"/>
                <w:szCs w:val="20"/>
              </w:rPr>
              <w:t>UE2gNB</w:t>
            </w:r>
          </w:p>
        </w:tc>
        <w:tc>
          <w:tcPr>
            <w:tcW w:w="4006"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center"/>
          </w:tcPr>
          <w:p>
            <w:pPr>
              <w:bidi w:val="0"/>
              <w:rPr>
                <w:rFonts w:hint="eastAsia" w:ascii="Times New Roman" w:hAnsi="Times New Roman" w:eastAsia="Times New Roman" w:cs="Times New Roman"/>
                <w:color w:val="000000"/>
                <w:sz w:val="20"/>
                <w:szCs w:val="20"/>
                <w:lang w:val="en-US" w:eastAsia="zh-CN"/>
              </w:rPr>
            </w:pPr>
            <w:r>
              <w:rPr>
                <w:rFonts w:hint="eastAsia" w:eastAsia="宋体" w:cs="Times New Roman"/>
                <w:color w:val="000000"/>
                <w:sz w:val="20"/>
                <w:szCs w:val="20"/>
                <w:lang w:val="en-US" w:eastAsia="zh-CN"/>
              </w:rPr>
              <w:t>3</w:t>
            </w:r>
            <w:r>
              <w:rPr>
                <w:rFonts w:ascii="Times New Roman" w:hAnsi="Times New Roman" w:eastAsia="Times New Roman" w:cs="Times New Roman"/>
                <w:color w:val="000000"/>
                <w:sz w:val="20"/>
                <w:szCs w:val="20"/>
              </w:rPr>
              <w:t>5m</w:t>
            </w:r>
            <w:r>
              <w:rPr>
                <w:rFonts w:hint="eastAsia" w:ascii="Times New Roman" w:hAnsi="Times New Roman" w:eastAsia="Times New Roman" w:cs="Times New Roman"/>
                <w:color w:val="000000"/>
                <w:sz w:val="20"/>
                <w:szCs w:val="20"/>
                <w:lang w:val="en-US" w:eastAsia="zh-CN"/>
              </w:rPr>
              <w:t xml:space="preserve"> for urban</w:t>
            </w:r>
          </w:p>
          <w:p>
            <w:pPr>
              <w:bidi w:val="0"/>
              <w:rPr>
                <w:rFonts w:hint="default"/>
                <w:color w:val="000000"/>
                <w:sz w:val="20"/>
                <w:szCs w:val="20"/>
                <w:lang w:val="en-US" w:eastAsia="zh-CN"/>
              </w:rPr>
            </w:pPr>
            <w:r>
              <w:rPr>
                <w:rFonts w:hint="eastAsia" w:ascii="Times New Roman" w:hAnsi="Times New Roman" w:eastAsia="Times New Roman" w:cs="Times New Roman"/>
                <w:color w:val="000000"/>
                <w:sz w:val="20"/>
                <w:szCs w:val="20"/>
                <w:lang w:val="en-US" w:eastAsia="zh-CN"/>
              </w:rPr>
              <w:t>35m for rural</w:t>
            </w:r>
          </w:p>
        </w:tc>
        <w:tc>
          <w:tcPr>
            <w:tcW w:w="3512"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top"/>
          </w:tcPr>
          <w:p>
            <w:pPr>
              <w:bidi w:val="0"/>
              <w:rPr>
                <w:rFonts w:hint="eastAsia" w:ascii="Times New Roman" w:hAnsi="Times New Roman" w:eastAsia="Times New Roman" w:cs="Times New Roman"/>
                <w:color w:val="000000"/>
                <w:sz w:val="20"/>
                <w:szCs w:val="20"/>
                <w:lang w:val="en-US" w:eastAsia="zh-CN"/>
              </w:rPr>
            </w:pPr>
            <w:r>
              <w:rPr>
                <w:rFonts w:hint="eastAsia" w:eastAsia="宋体" w:cs="Times New Roman"/>
                <w:color w:val="000000"/>
                <w:sz w:val="20"/>
                <w:szCs w:val="20"/>
                <w:lang w:val="en-US" w:eastAsia="zh-CN"/>
              </w:rPr>
              <w:t>3</w:t>
            </w:r>
            <w:r>
              <w:rPr>
                <w:rFonts w:ascii="Times New Roman" w:hAnsi="Times New Roman" w:eastAsia="Times New Roman" w:cs="Times New Roman"/>
                <w:color w:val="000000"/>
                <w:sz w:val="20"/>
                <w:szCs w:val="20"/>
              </w:rPr>
              <w:t>5m</w:t>
            </w:r>
            <w:r>
              <w:rPr>
                <w:rFonts w:hint="eastAsia" w:ascii="Times New Roman" w:hAnsi="Times New Roman" w:eastAsia="Times New Roman" w:cs="Times New Roman"/>
                <w:color w:val="000000"/>
                <w:sz w:val="20"/>
                <w:szCs w:val="20"/>
                <w:lang w:val="en-US" w:eastAsia="zh-CN"/>
              </w:rPr>
              <w:t xml:space="preserve"> for urban</w:t>
            </w:r>
          </w:p>
          <w:p>
            <w:pPr>
              <w:bidi w:val="0"/>
              <w:rPr>
                <w:rFonts w:hint="default"/>
                <w:lang w:val="en-US"/>
              </w:rPr>
            </w:pPr>
            <w:r>
              <w:rPr>
                <w:rFonts w:hint="eastAsia" w:ascii="Times New Roman" w:hAnsi="Times New Roman" w:eastAsia="Times New Roman" w:cs="Times New Roman"/>
                <w:color w:val="000000"/>
                <w:sz w:val="20"/>
                <w:szCs w:val="20"/>
                <w:lang w:val="en-US" w:eastAsia="zh-CN"/>
              </w:rPr>
              <w:t>0m for indoor</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line="240" w:lineRule="auto"/>
        <w:contextualSpacing/>
        <w:textAlignment w:val="baseline"/>
        <w:rPr>
          <w:rFonts w:hint="default" w:eastAsia="宋体"/>
          <w:i/>
          <w:lang w:val="en-US" w:eastAsia="zh-CN"/>
        </w:rPr>
      </w:pPr>
      <w:r>
        <w:rPr>
          <w:rFonts w:hint="eastAsia"/>
          <w:b/>
          <w:bCs/>
          <w:i/>
          <w:iCs/>
          <w:sz w:val="20"/>
          <w:szCs w:val="20"/>
          <w:lang w:val="en-US" w:eastAsia="zh-CN"/>
        </w:rPr>
        <w:t xml:space="preserve">Proposal 8: </w:t>
      </w:r>
      <w:r>
        <w:rPr>
          <w:rFonts w:hint="eastAsia" w:ascii="Times New Roman" w:hAnsi="Times New Roman" w:eastAsia="宋体" w:cs="Times New Roman"/>
          <w:b w:val="0"/>
          <w:bCs w:val="0"/>
          <w:i/>
          <w:iCs/>
          <w:szCs w:val="21"/>
          <w:lang w:val="en-US" w:eastAsia="zh-CN"/>
        </w:rPr>
        <w:t xml:space="preserve">For </w:t>
      </w:r>
      <w:r>
        <w:rPr>
          <w:rFonts w:ascii="Times New Roman" w:hAnsi="Times New Roman" w:cs="Times New Roman"/>
          <w:i/>
          <w:iCs/>
          <w:szCs w:val="21"/>
        </w:rPr>
        <w:t>SLS</w:t>
      </w:r>
      <w:r>
        <w:rPr>
          <w:rFonts w:hint="eastAsia" w:ascii="Times New Roman" w:hAnsi="Times New Roman" w:eastAsia="宋体" w:cs="Times New Roman"/>
          <w:i/>
          <w:iCs/>
          <w:szCs w:val="21"/>
          <w:lang w:val="en-US" w:eastAsia="zh-CN"/>
        </w:rPr>
        <w:t xml:space="preserve"> specific parameters in Table 2 can be considered.</w:t>
      </w:r>
    </w:p>
    <w:p>
      <w:pPr>
        <w:pStyle w:val="2"/>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rPr>
          <w:rFonts w:hint="eastAsia" w:eastAsia="宋体"/>
          <w:b w:val="0"/>
          <w:bCs w:val="0"/>
          <w:i/>
          <w:iCs/>
          <w:lang w:val="en-US" w:eastAsia="zh-CN"/>
        </w:rPr>
      </w:pPr>
      <w:r>
        <w:rPr>
          <w:rFonts w:hint="eastAsia"/>
          <w:b/>
          <w:bCs/>
          <w:i/>
          <w:iCs/>
          <w:lang w:val="en-US" w:eastAsia="zh-CN"/>
        </w:rPr>
        <w:t xml:space="preserve">Proposal 1: </w:t>
      </w:r>
      <w:r>
        <w:rPr>
          <w:rFonts w:hint="eastAsia"/>
          <w:b w:val="0"/>
          <w:bCs w:val="0"/>
          <w:i/>
          <w:iCs/>
          <w:lang w:val="en-US" w:eastAsia="zh-CN"/>
        </w:rPr>
        <w:t xml:space="preserve"> </w:t>
      </w:r>
      <w:r>
        <w:rPr>
          <w:b w:val="0"/>
          <w:bCs w:val="0"/>
          <w:i/>
          <w:iCs/>
        </w:rPr>
        <w:t>Adopt single link budget template based on IMT-2020 self-evaluation</w:t>
      </w:r>
      <w:r>
        <w:rPr>
          <w:rFonts w:hint="eastAsia" w:eastAsia="宋体"/>
          <w:b w:val="0"/>
          <w:bCs w:val="0"/>
          <w:i/>
          <w:iCs/>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ind w:leftChars="0"/>
        <w:textAlignment w:val="baseline"/>
        <w:rPr>
          <w:rFonts w:hint="default"/>
          <w:i/>
          <w:iCs/>
          <w:lang w:val="en-US" w:eastAsia="zh-CN"/>
        </w:rPr>
      </w:pPr>
      <w:r>
        <w:rPr>
          <w:rFonts w:hint="eastAsia"/>
          <w:b/>
          <w:bCs/>
          <w:i/>
          <w:iCs/>
          <w:lang w:val="en-US" w:eastAsia="zh-CN"/>
        </w:rPr>
        <w:t xml:space="preserve">Proposal 2: </w:t>
      </w:r>
      <w:r>
        <w:rPr>
          <w:rFonts w:hint="eastAsia"/>
          <w:b w:val="0"/>
          <w:bCs w:val="0"/>
          <w:i/>
          <w:iCs/>
          <w:lang w:val="en-US" w:eastAsia="zh-CN"/>
        </w:rPr>
        <w:t xml:space="preserve">For </w:t>
      </w:r>
      <w:r>
        <w:rPr>
          <w:b w:val="0"/>
          <w:bCs w:val="0"/>
          <w:i/>
          <w:iCs/>
        </w:rPr>
        <w:t>LLS based methodology</w:t>
      </w:r>
      <w:r>
        <w:rPr>
          <w:rFonts w:hint="eastAsia" w:eastAsia="宋体"/>
          <w:b w:val="0"/>
          <w:bCs w:val="0"/>
          <w:i/>
          <w:iCs/>
          <w:lang w:val="en-US" w:eastAsia="zh-CN"/>
        </w:rPr>
        <w:t>, a</w:t>
      </w:r>
      <w:r>
        <w:rPr>
          <w:b w:val="0"/>
          <w:bCs w:val="0"/>
          <w:i/>
          <w:iCs/>
        </w:rPr>
        <w:t>ntenna array gain is included in the link budget template.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i/>
          <w:iCs/>
          <w:lang w:val="en-US" w:eastAsia="zh-CN"/>
        </w:rPr>
      </w:pPr>
      <w:r>
        <w:rPr>
          <w:rFonts w:hint="eastAsia"/>
          <w:b/>
          <w:bCs/>
          <w:i/>
          <w:iCs/>
          <w:lang w:val="en-US" w:eastAsia="zh-CN"/>
        </w:rPr>
        <w:t xml:space="preserve">Proposal 3: </w:t>
      </w:r>
      <w:r>
        <w:rPr>
          <w:rFonts w:hint="eastAsia"/>
          <w:i/>
          <w:iCs/>
          <w:lang w:val="en-US" w:eastAsia="zh-CN"/>
        </w:rPr>
        <w:t xml:space="preserve"> The antenna array gain for unicast channels can be modeled as 10*log(N/k) + 10*log(M/N) - Δ, where k, M and N is the number of RF chains, TxRUs and antenna elements respectively.</w:t>
      </w:r>
    </w:p>
    <w:p>
      <w:pPr>
        <w:keepNext w:val="0"/>
        <w:keepLines w:val="0"/>
        <w:pageBreakBefore w:val="0"/>
        <w:widowControl/>
        <w:numPr>
          <w:ilvl w:val="0"/>
          <w:numId w:val="7"/>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i/>
          <w:iCs/>
          <w:lang w:val="en-US" w:eastAsia="zh-CN"/>
        </w:rPr>
      </w:pPr>
      <w:r>
        <w:rPr>
          <w:rFonts w:hint="eastAsia"/>
          <w:i/>
          <w:iCs/>
          <w:lang w:val="en-US" w:eastAsia="zh-CN"/>
        </w:rPr>
        <w:t xml:space="preserve">Δ is the antenna array gain loss, which can be considered as zero or obtained by SLS.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default"/>
          <w:i/>
          <w:iCs/>
          <w:sz w:val="20"/>
          <w:szCs w:val="20"/>
          <w:lang w:val="en-US" w:eastAsia="zh-CN"/>
        </w:rPr>
      </w:pPr>
      <w:r>
        <w:rPr>
          <w:rFonts w:hint="eastAsia"/>
          <w:b/>
          <w:bCs/>
          <w:i/>
          <w:iCs/>
          <w:sz w:val="20"/>
          <w:szCs w:val="20"/>
          <w:lang w:val="en-US" w:eastAsia="zh-CN"/>
        </w:rPr>
        <w:t xml:space="preserve">Proposal 4: </w:t>
      </w:r>
      <w:r>
        <w:rPr>
          <w:rFonts w:hint="eastAsia"/>
          <w:i/>
          <w:iCs/>
          <w:sz w:val="20"/>
          <w:szCs w:val="20"/>
          <w:lang w:val="en-US" w:eastAsia="zh-CN"/>
        </w:rPr>
        <w:t xml:space="preserve"> The antenna array gain for broadcast channels can be modeled as </w:t>
      </w:r>
      <w:r>
        <w:rPr>
          <w:rFonts w:hint="eastAsia"/>
          <w:i/>
          <w:iCs/>
          <w:lang w:val="en-US" w:eastAsia="zh-CN"/>
        </w:rPr>
        <w:t>10*log(min(X, M/N))</w:t>
      </w:r>
      <w:r>
        <w:rPr>
          <w:rFonts w:hint="eastAsia"/>
          <w:i/>
          <w:iCs/>
          <w:sz w:val="20"/>
          <w:szCs w:val="20"/>
          <w:lang w:val="en-US" w:eastAsia="zh-CN"/>
        </w:rPr>
        <w:t xml:space="preserve"> - Δ, where X is the number of </w:t>
      </w:r>
      <w:r>
        <w:rPr>
          <w:rFonts w:hint="eastAsia"/>
          <w:b w:val="0"/>
          <w:bCs w:val="0"/>
          <w:i/>
          <w:iCs/>
          <w:sz w:val="20"/>
          <w:szCs w:val="20"/>
          <w:lang w:val="en-US" w:eastAsia="zh-CN"/>
        </w:rPr>
        <w:t xml:space="preserve">SSB beams. </w:t>
      </w:r>
    </w:p>
    <w:p>
      <w:pPr>
        <w:keepNext w:val="0"/>
        <w:keepLines w:val="0"/>
        <w:pageBreakBefore w:val="0"/>
        <w:widowControl/>
        <w:numPr>
          <w:ilvl w:val="0"/>
          <w:numId w:val="7"/>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default"/>
          <w:i/>
          <w:iCs/>
          <w:sz w:val="20"/>
          <w:szCs w:val="20"/>
          <w:lang w:val="en-US" w:eastAsia="zh-CN"/>
        </w:rPr>
      </w:pPr>
      <w:r>
        <w:rPr>
          <w:rFonts w:hint="eastAsia"/>
          <w:i/>
          <w:iCs/>
          <w:sz w:val="20"/>
          <w:szCs w:val="20"/>
          <w:lang w:val="en-US" w:eastAsia="zh-CN"/>
        </w:rPr>
        <w:t xml:space="preserve">Δ is the antenna array gain loss, which can be considered as zero or obtained by SLS.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ascii="Times New Roman" w:hAnsi="Times New Roman" w:eastAsia="宋体" w:cs="Times New Roman"/>
          <w:i/>
          <w:iCs/>
          <w:szCs w:val="21"/>
          <w:lang w:val="en-US" w:eastAsia="zh-CN"/>
        </w:rPr>
      </w:pPr>
      <w:bookmarkStart w:id="4" w:name="_GoBack"/>
      <w:bookmarkEnd w:id="4"/>
      <w:r>
        <w:rPr>
          <w:rFonts w:hint="eastAsia"/>
          <w:b/>
          <w:bCs/>
          <w:i/>
          <w:iCs/>
          <w:sz w:val="20"/>
          <w:szCs w:val="20"/>
          <w:lang w:val="en-US" w:eastAsia="zh-CN"/>
        </w:rPr>
        <w:t xml:space="preserve">Proposal 5: </w:t>
      </w:r>
      <w:r>
        <w:rPr>
          <w:rFonts w:hint="eastAsia"/>
          <w:b w:val="0"/>
          <w:bCs w:val="0"/>
          <w:i/>
          <w:iCs/>
          <w:sz w:val="20"/>
          <w:szCs w:val="20"/>
          <w:lang w:val="en-US" w:eastAsia="zh-CN"/>
        </w:rPr>
        <w:t>For LLS based methodology, t</w:t>
      </w:r>
      <w:r>
        <w:rPr>
          <w:rFonts w:ascii="Times New Roman" w:hAnsi="Times New Roman" w:cs="Times New Roman"/>
          <w:i/>
          <w:iCs/>
          <w:szCs w:val="21"/>
          <w:lang w:val="en-GB"/>
        </w:rPr>
        <w:t>he target path loss is considered as the target performance</w:t>
      </w:r>
      <w:r>
        <w:rPr>
          <w:rFonts w:hint="eastAsia" w:ascii="Times New Roman" w:hAnsi="Times New Roman" w:eastAsia="宋体" w:cs="Times New Roman"/>
          <w:i/>
          <w:iCs/>
          <w:szCs w:val="21"/>
          <w:lang w:val="en-US" w:eastAsia="zh-CN"/>
        </w:rPr>
        <w:t>.</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before="181" w:beforeLines="50" w:after="120"/>
        <w:ind w:left="840" w:leftChars="0" w:hanging="420" w:firstLineChars="0"/>
        <w:jc w:val="both"/>
        <w:textAlignment w:val="baseline"/>
        <w:rPr>
          <w:rFonts w:hint="eastAsia" w:ascii="Times New Roman" w:hAnsi="Times New Roman" w:eastAsia="宋体" w:cs="Times New Roman"/>
          <w:i/>
          <w:iCs/>
          <w:szCs w:val="21"/>
          <w:lang w:val="en-US" w:eastAsia="zh-CN"/>
        </w:rPr>
      </w:pPr>
      <w:r>
        <w:rPr>
          <w:rFonts w:hint="eastAsia" w:ascii="Times New Roman" w:hAnsi="Times New Roman" w:eastAsia="宋体" w:cs="Times New Roman"/>
          <w:i/>
          <w:iCs/>
          <w:szCs w:val="21"/>
          <w:lang w:val="en-US" w:eastAsia="zh-CN"/>
        </w:rPr>
        <w:t>The target path loss is derived from the target ISD.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jc w:val="both"/>
        <w:textAlignment w:val="baseline"/>
        <w:rPr>
          <w:rFonts w:hint="eastAsia" w:ascii="Times New Roman" w:hAnsi="Times New Roman" w:eastAsia="宋体" w:cs="Times New Roman"/>
          <w:b w:val="0"/>
          <w:bCs w:val="0"/>
          <w:i/>
          <w:iCs/>
          <w:szCs w:val="21"/>
          <w:lang w:val="en-US" w:eastAsia="zh-CN"/>
        </w:rPr>
      </w:pPr>
      <w:r>
        <w:rPr>
          <w:rFonts w:hint="eastAsia"/>
          <w:b/>
          <w:bCs/>
          <w:i/>
          <w:iCs/>
          <w:sz w:val="20"/>
          <w:szCs w:val="20"/>
          <w:lang w:val="en-US" w:eastAsia="zh-CN"/>
        </w:rPr>
        <w:t xml:space="preserve">Proposal 6: </w:t>
      </w:r>
      <w:r>
        <w:rPr>
          <w:rFonts w:hint="eastAsia"/>
          <w:b w:val="0"/>
          <w:bCs w:val="0"/>
          <w:i/>
          <w:iCs/>
          <w:sz w:val="20"/>
          <w:szCs w:val="20"/>
          <w:lang w:val="en-US" w:eastAsia="zh-CN"/>
        </w:rPr>
        <w:t>Adopt Table 1 for</w:t>
      </w:r>
      <w:r>
        <w:rPr>
          <w:rFonts w:hint="eastAsia" w:ascii="Times New Roman" w:hAnsi="Times New Roman" w:eastAsia="宋体" w:cs="Times New Roman"/>
          <w:b w:val="0"/>
          <w:bCs w:val="0"/>
          <w:i/>
          <w:iCs/>
          <w:szCs w:val="21"/>
          <w:lang w:val="en-US" w:eastAsia="zh-CN"/>
        </w:rPr>
        <w:t xml:space="preserve"> the target ISD of different scenarios in FR1 and FR2.</w:t>
      </w:r>
    </w:p>
    <w:p>
      <w:pPr>
        <w:numPr>
          <w:ilvl w:val="0"/>
          <w:numId w:val="0"/>
        </w:numPr>
        <w:spacing w:line="312" w:lineRule="auto"/>
        <w:contextualSpacing/>
        <w:rPr>
          <w:rFonts w:hint="eastAsia" w:eastAsia="宋体"/>
          <w:lang w:val="en-US" w:eastAsia="zh-CN"/>
        </w:rPr>
      </w:pPr>
      <w:r>
        <w:rPr>
          <w:rFonts w:hint="eastAsia"/>
          <w:b/>
          <w:bCs/>
          <w:i/>
          <w:iCs/>
          <w:sz w:val="20"/>
          <w:szCs w:val="20"/>
          <w:lang w:val="en-US" w:eastAsia="zh-CN"/>
        </w:rPr>
        <w:t xml:space="preserve">Proposal 7: </w:t>
      </w:r>
      <w:r>
        <w:rPr>
          <w:rFonts w:hint="eastAsia" w:ascii="Times New Roman" w:hAnsi="Times New Roman" w:eastAsia="宋体" w:cs="Times New Roman"/>
          <w:b w:val="0"/>
          <w:bCs w:val="0"/>
          <w:i/>
          <w:iCs/>
          <w:szCs w:val="21"/>
          <w:lang w:val="en-US" w:eastAsia="zh-CN"/>
        </w:rPr>
        <w:t xml:space="preserve">For </w:t>
      </w:r>
      <w:r>
        <w:rPr>
          <w:rFonts w:ascii="Times New Roman" w:hAnsi="Times New Roman" w:cs="Times New Roman"/>
          <w:i/>
          <w:iCs/>
          <w:szCs w:val="21"/>
        </w:rPr>
        <w:t>SLS</w:t>
      </w:r>
      <w:r>
        <w:rPr>
          <w:rFonts w:hint="eastAsia" w:ascii="Times New Roman" w:hAnsi="Times New Roman" w:eastAsia="宋体" w:cs="Times New Roman"/>
          <w:i/>
          <w:iCs/>
          <w:szCs w:val="21"/>
          <w:lang w:val="en-US" w:eastAsia="zh-CN"/>
        </w:rPr>
        <w:t xml:space="preserve"> based methodology, </w:t>
      </w:r>
      <w:r>
        <w:rPr>
          <w:rFonts w:ascii="Times New Roman" w:hAnsi="Times New Roman" w:cs="Times New Roman"/>
          <w:i/>
          <w:iCs/>
          <w:szCs w:val="21"/>
        </w:rPr>
        <w:t>the target performance for SLS is determined by the 5th percentile SINR value in CDF curve for different physical channels</w:t>
      </w:r>
      <w:r>
        <w:rPr>
          <w:rFonts w:hint="eastAsia" w:ascii="Times New Roman" w:hAnsi="Times New Roman" w:eastAsia="宋体" w:cs="Times New Roman"/>
          <w:i/>
          <w:iCs/>
          <w:szCs w:val="21"/>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line="240" w:lineRule="auto"/>
        <w:contextualSpacing/>
        <w:textAlignment w:val="baseline"/>
        <w:rPr>
          <w:rFonts w:hint="eastAsia" w:eastAsia="宋体"/>
          <w:lang w:val="en-US" w:eastAsia="zh-CN"/>
        </w:rPr>
      </w:pPr>
      <w:r>
        <w:rPr>
          <w:rFonts w:hint="eastAsia"/>
          <w:b/>
          <w:bCs/>
          <w:i/>
          <w:iCs/>
          <w:sz w:val="20"/>
          <w:szCs w:val="20"/>
          <w:lang w:val="en-US" w:eastAsia="zh-CN"/>
        </w:rPr>
        <w:t xml:space="preserve">Proposal 8: </w:t>
      </w:r>
      <w:r>
        <w:rPr>
          <w:rFonts w:hint="eastAsia" w:ascii="Times New Roman" w:hAnsi="Times New Roman" w:eastAsia="宋体" w:cs="Times New Roman"/>
          <w:b w:val="0"/>
          <w:bCs w:val="0"/>
          <w:i/>
          <w:iCs/>
          <w:szCs w:val="21"/>
          <w:lang w:val="en-US" w:eastAsia="zh-CN"/>
        </w:rPr>
        <w:t xml:space="preserve">For </w:t>
      </w:r>
      <w:r>
        <w:rPr>
          <w:rFonts w:ascii="Times New Roman" w:hAnsi="Times New Roman" w:cs="Times New Roman"/>
          <w:i/>
          <w:iCs/>
          <w:szCs w:val="21"/>
        </w:rPr>
        <w:t>SLS</w:t>
      </w:r>
      <w:r>
        <w:rPr>
          <w:rFonts w:hint="eastAsia" w:ascii="Times New Roman" w:hAnsi="Times New Roman" w:eastAsia="宋体" w:cs="Times New Roman"/>
          <w:i/>
          <w:iCs/>
          <w:szCs w:val="21"/>
          <w:lang w:val="en-US" w:eastAsia="zh-CN"/>
        </w:rPr>
        <w:t xml:space="preserve"> specific parameters in Table 2 can be considered.</w:t>
      </w:r>
    </w:p>
    <w:p>
      <w:pPr>
        <w:pStyle w:val="2"/>
        <w:spacing w:beforeLines="0" w:after="180" w:afterLines="50"/>
      </w:pPr>
      <w:r>
        <w:rPr>
          <w:rFonts w:hint="eastAsia"/>
        </w:rPr>
        <w:t>Reference</w:t>
      </w:r>
    </w:p>
    <w:p>
      <w:pPr>
        <w:pStyle w:val="81"/>
        <w:numPr>
          <w:ilvl w:val="0"/>
          <w:numId w:val="9"/>
        </w:numPr>
        <w:ind w:firstLineChars="0"/>
        <w:rPr>
          <w:rFonts w:hint="eastAsia" w:ascii="Times New Roman" w:hAnsi="Times New Roman" w:eastAsia="宋体" w:cs="Times New Roman"/>
          <w:sz w:val="20"/>
          <w:szCs w:val="20"/>
          <w:lang w:val="en-US" w:eastAsia="zh-CN"/>
        </w:rPr>
      </w:pPr>
      <w:bookmarkStart w:id="2" w:name="OLE_LINK7"/>
      <w:bookmarkStart w:id="3" w:name="_Ref427157992"/>
      <w:r>
        <w:rPr>
          <w:rFonts w:hint="eastAsia" w:ascii="Times New Roman" w:hAnsi="Times New Roman" w:eastAsia="宋体" w:cs="Times New Roman"/>
          <w:sz w:val="20"/>
          <w:szCs w:val="20"/>
          <w:lang w:val="en-US" w:eastAsia="zh-CN"/>
        </w:rPr>
        <w:t xml:space="preserve">3GPP, RAN#86, RP-193240 New SID on NR coverage enhancement, China Telecom. </w:t>
      </w:r>
    </w:p>
    <w:p>
      <w:pPr>
        <w:pStyle w:val="81"/>
        <w:numPr>
          <w:ilvl w:val="0"/>
          <w:numId w:val="9"/>
        </w:numPr>
        <w:ind w:firstLineChars="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3GPP, RAN1#101-e Chairman</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s notes. </w:t>
      </w:r>
      <w:bookmarkEnd w:id="2"/>
      <w:bookmarkEnd w:id="3"/>
    </w:p>
    <w:p>
      <w:pPr>
        <w:pStyle w:val="81"/>
        <w:numPr>
          <w:ilvl w:val="0"/>
          <w:numId w:val="9"/>
        </w:numPr>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RAN1#102-e, R1-2005425, Discussion on baseline coverage performance for FR1, ZTE.</w:t>
      </w:r>
    </w:p>
    <w:p>
      <w:pPr>
        <w:pStyle w:val="81"/>
        <w:numPr>
          <w:ilvl w:val="0"/>
          <w:numId w:val="9"/>
        </w:numPr>
        <w:ind w:firstLineChars="0"/>
        <w:rPr>
          <w:rFonts w:ascii="Times New Roman" w:hAnsi="Times New Roman" w:eastAsia="等线" w:cs="Times New Roman"/>
          <w:kern w:val="0"/>
          <w:sz w:val="20"/>
          <w:szCs w:val="20"/>
        </w:rPr>
      </w:pPr>
      <w:r>
        <w:rPr>
          <w:rFonts w:hint="eastAsia" w:ascii="Times New Roman" w:hAnsi="Times New Roman"/>
          <w:sz w:val="20"/>
          <w:szCs w:val="20"/>
          <w:lang w:val="en-US" w:eastAsia="zh-CN"/>
        </w:rPr>
        <w:t>3GPP, RAN1#102-e, R1-2005426, Discussion on baseline coverage performance for FR2, ZTE.</w:t>
      </w:r>
    </w:p>
    <w:p>
      <w:pPr>
        <w:pStyle w:val="81"/>
        <w:numPr>
          <w:ilvl w:val="0"/>
          <w:numId w:val="9"/>
        </w:numPr>
        <w:ind w:firstLineChars="0"/>
        <w:rPr>
          <w:rFonts w:hint="eastAsia" w:ascii="Times New Roman" w:hAnsi="Times New Roman" w:eastAsia="宋体" w:cs="Times New Roman"/>
          <w:sz w:val="20"/>
          <w:szCs w:val="20"/>
          <w:lang w:val="en-US" w:eastAsia="zh-CN"/>
        </w:rPr>
      </w:pPr>
      <w:r>
        <w:rPr>
          <w:rFonts w:ascii="Times New Roman" w:hAnsi="Times New Roman" w:eastAsia="等线" w:cs="Times New Roman"/>
          <w:kern w:val="0"/>
          <w:sz w:val="20"/>
          <w:szCs w:val="20"/>
        </w:rPr>
        <w:t>Report ITU-R M.2412, “Guidelines for evaluation of radio interface technologies for IMT-2020”, Nov. 2017.</w:t>
      </w:r>
    </w:p>
    <w:p>
      <w:pPr>
        <w:pStyle w:val="81"/>
        <w:numPr>
          <w:ilvl w:val="0"/>
          <w:numId w:val="9"/>
        </w:numPr>
        <w:ind w:firstLineChars="0"/>
        <w:rPr>
          <w:rFonts w:ascii="Times New Roman" w:hAnsi="Times New Roman"/>
          <w:sz w:val="20"/>
          <w:szCs w:val="20"/>
          <w:lang w:val="en-US" w:eastAsia="ja-JP"/>
        </w:rPr>
      </w:pPr>
      <w:r>
        <w:rPr>
          <w:rFonts w:hint="eastAsia" w:ascii="Times New Roman" w:hAnsi="Times New Roman"/>
          <w:sz w:val="20"/>
          <w:szCs w:val="20"/>
          <w:lang w:val="en-US" w:eastAsia="zh-CN"/>
        </w:rPr>
        <w:t xml:space="preserve">TR 38.802, </w:t>
      </w:r>
      <w:r>
        <w:rPr>
          <w:rFonts w:hint="eastAsia" w:ascii="Times New Roman" w:hAnsi="Times New Roman"/>
          <w:sz w:val="20"/>
          <w:szCs w:val="20"/>
          <w:lang w:val="en-US" w:eastAsia="ja-JP"/>
        </w:rPr>
        <w:t>Study on New Radio Access Technology Physical Layer Aspects</w:t>
      </w:r>
      <w:r>
        <w:rPr>
          <w:rFonts w:hint="eastAsia" w:ascii="Times New Roman" w:hAnsi="Times New Roman"/>
          <w:sz w:val="20"/>
          <w:szCs w:val="20"/>
          <w:lang w:val="en-US" w:eastAsia="zh-CN"/>
        </w:rPr>
        <w:t xml:space="preserve"> </w:t>
      </w:r>
      <w:r>
        <w:rPr>
          <w:rFonts w:hint="eastAsia" w:ascii="Times New Roman" w:hAnsi="Times New Roman"/>
          <w:sz w:val="20"/>
          <w:szCs w:val="20"/>
          <w:lang w:val="en-US" w:eastAsia="ja-JP"/>
        </w:rPr>
        <w:t>(Release 1</w:t>
      </w:r>
      <w:r>
        <w:rPr>
          <w:rFonts w:hint="eastAsia" w:ascii="Times New Roman" w:hAnsi="Times New Roman"/>
          <w:sz w:val="20"/>
          <w:szCs w:val="20"/>
          <w:lang w:val="en-US" w:eastAsia="zh-CN"/>
        </w:rPr>
        <w:t>4</w:t>
      </w:r>
      <w:r>
        <w:rPr>
          <w:rFonts w:hint="eastAsia" w:ascii="Times New Roman" w:hAnsi="Times New Roman"/>
          <w:sz w:val="20"/>
          <w:szCs w:val="20"/>
          <w:lang w:val="en-US" w:eastAsia="ja-JP"/>
        </w:rPr>
        <w:t>)</w:t>
      </w:r>
      <w:r>
        <w:rPr>
          <w:rFonts w:hint="eastAsia" w:ascii="Times New Roman" w:hAnsi="Times New Roman"/>
          <w:sz w:val="20"/>
          <w:szCs w:val="20"/>
          <w:lang w:val="en-US" w:eastAsia="zh-CN"/>
        </w:rPr>
        <w:t>, 2017.</w:t>
      </w:r>
    </w:p>
    <w:p>
      <w:pPr>
        <w:pStyle w:val="81"/>
        <w:numPr>
          <w:ilvl w:val="0"/>
          <w:numId w:val="9"/>
        </w:numPr>
        <w:ind w:firstLineChars="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3GPP, RAN1#101-e, </w:t>
      </w:r>
      <w:r>
        <w:rPr>
          <w:rFonts w:hint="eastAsia" w:ascii="Times New Roman" w:hAnsi="Times New Roman"/>
          <w:sz w:val="20"/>
          <w:szCs w:val="20"/>
          <w:lang w:val="en-US" w:eastAsia="ja-JP"/>
        </w:rPr>
        <w:t>R1-2003341 Discussion on evaluation methodology for NR coverage</w:t>
      </w:r>
      <w:r>
        <w:rPr>
          <w:rFonts w:hint="eastAsia" w:ascii="Times New Roman" w:hAnsi="Times New Roman"/>
          <w:sz w:val="20"/>
          <w:szCs w:val="20"/>
          <w:lang w:val="en-US" w:eastAsia="zh-CN"/>
        </w:rPr>
        <w:t>, ZTE.</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pPr>
      <w:pStyle w:val="2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2017A8"/>
    <w:multiLevelType w:val="singleLevel"/>
    <w:tmpl w:val="D42017A8"/>
    <w:lvl w:ilvl="0" w:tentative="0">
      <w:start w:val="1"/>
      <w:numFmt w:val="bullet"/>
      <w:lvlText w:val=""/>
      <w:lvlJc w:val="left"/>
      <w:pPr>
        <w:tabs>
          <w:tab w:val="left" w:pos="420"/>
        </w:tabs>
        <w:ind w:left="840" w:hanging="42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3">
    <w:nsid w:val="43FEFA9B"/>
    <w:multiLevelType w:val="singleLevel"/>
    <w:tmpl w:val="43FEFA9B"/>
    <w:lvl w:ilvl="0" w:tentative="0">
      <w:start w:val="1"/>
      <w:numFmt w:val="bullet"/>
      <w:lvlText w:val=""/>
      <w:lvlJc w:val="left"/>
      <w:pPr>
        <w:tabs>
          <w:tab w:val="left" w:pos="420"/>
        </w:tabs>
        <w:ind w:left="840" w:hanging="420"/>
      </w:pPr>
      <w:rPr>
        <w:rFonts w:hint="default" w:ascii="Wingdings" w:hAnsi="Wingdings"/>
      </w:rPr>
    </w:lvl>
  </w:abstractNum>
  <w:abstractNum w:abstractNumId="4">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5D861624"/>
    <w:multiLevelType w:val="multilevel"/>
    <w:tmpl w:val="5D861624"/>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6">
    <w:nsid w:val="6E0749B0"/>
    <w:multiLevelType w:val="multilevel"/>
    <w:tmpl w:val="6E0749B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eastAsia" w:ascii="宋体" w:hAnsi="宋体" w:eastAsia="宋体"/>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E1C091F"/>
    <w:multiLevelType w:val="multilevel"/>
    <w:tmpl w:val="6E1C091F"/>
    <w:lvl w:ilvl="0" w:tentative="0">
      <w:start w:val="1"/>
      <w:numFmt w:val="bullet"/>
      <w:lvlText w:val="­"/>
      <w:lvlJc w:val="left"/>
      <w:pPr>
        <w:ind w:left="720" w:hanging="360"/>
      </w:pPr>
      <w:rPr>
        <w:rFonts w:hint="eastAsia" w:ascii="Arial Unicode MS" w:hAnsi="Arial Unicode MS" w:eastAsia="Arial Unicode M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EF75933"/>
    <w:multiLevelType w:val="multilevel"/>
    <w:tmpl w:val="6EF75933"/>
    <w:lvl w:ilvl="0" w:tentative="0">
      <w:start w:val="1"/>
      <w:numFmt w:val="bullet"/>
      <w:lvlText w:val="­"/>
      <w:lvlJc w:val="left"/>
      <w:pPr>
        <w:ind w:left="720" w:hanging="360"/>
      </w:pPr>
      <w:rPr>
        <w:rFonts w:hint="eastAsia" w:ascii="Arial Unicode MS" w:hAnsi="Arial Unicode MS" w:eastAsia="Arial Unicode M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7"/>
  </w:num>
  <w:num w:numId="4">
    <w:abstractNumId w:val="6"/>
  </w:num>
  <w:num w:numId="5">
    <w:abstractNumId w:val="8"/>
  </w:num>
  <w:num w:numId="6">
    <w:abstractNumId w:val="5"/>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720"/>
  <w:drawingGridVerticalSpacing w:val="187"/>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6B3C"/>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BB"/>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25D"/>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918"/>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1B"/>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A9E"/>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06E"/>
    <w:rsid w:val="000B4313"/>
    <w:rsid w:val="000B43FC"/>
    <w:rsid w:val="000B4A3A"/>
    <w:rsid w:val="000B518A"/>
    <w:rsid w:val="000B559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8"/>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BFC"/>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CAF"/>
    <w:rsid w:val="00110DE7"/>
    <w:rsid w:val="00110DFA"/>
    <w:rsid w:val="0011164B"/>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37B"/>
    <w:rsid w:val="00130439"/>
    <w:rsid w:val="00130467"/>
    <w:rsid w:val="0013074D"/>
    <w:rsid w:val="00130CC2"/>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233"/>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DDF"/>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4FBC"/>
    <w:rsid w:val="00175020"/>
    <w:rsid w:val="0017542F"/>
    <w:rsid w:val="00175768"/>
    <w:rsid w:val="001759AB"/>
    <w:rsid w:val="00175A76"/>
    <w:rsid w:val="00175A96"/>
    <w:rsid w:val="0017616E"/>
    <w:rsid w:val="0017637E"/>
    <w:rsid w:val="001763C5"/>
    <w:rsid w:val="0017644C"/>
    <w:rsid w:val="001766C4"/>
    <w:rsid w:val="00176C91"/>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3C90"/>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93A"/>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3B1"/>
    <w:rsid w:val="001978CD"/>
    <w:rsid w:val="00197EA3"/>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6F7"/>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0CE"/>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8AF"/>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0C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D77"/>
    <w:rsid w:val="00274F2A"/>
    <w:rsid w:val="00274F6F"/>
    <w:rsid w:val="002751F2"/>
    <w:rsid w:val="00275255"/>
    <w:rsid w:val="0027549D"/>
    <w:rsid w:val="00275EFB"/>
    <w:rsid w:val="0027625E"/>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12B"/>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97D87"/>
    <w:rsid w:val="002A04A3"/>
    <w:rsid w:val="002A0B0C"/>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AC4"/>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086"/>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431"/>
    <w:rsid w:val="002D560C"/>
    <w:rsid w:val="002D5CCC"/>
    <w:rsid w:val="002D61B8"/>
    <w:rsid w:val="002D64F9"/>
    <w:rsid w:val="002D6B6F"/>
    <w:rsid w:val="002D73A6"/>
    <w:rsid w:val="002D73BB"/>
    <w:rsid w:val="002D7641"/>
    <w:rsid w:val="002D7E53"/>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C8A"/>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0FA6"/>
    <w:rsid w:val="003113A4"/>
    <w:rsid w:val="003114FE"/>
    <w:rsid w:val="003115D0"/>
    <w:rsid w:val="003119FE"/>
    <w:rsid w:val="00311BED"/>
    <w:rsid w:val="00311CC6"/>
    <w:rsid w:val="00311F05"/>
    <w:rsid w:val="003120D4"/>
    <w:rsid w:val="00312471"/>
    <w:rsid w:val="00312748"/>
    <w:rsid w:val="0031278B"/>
    <w:rsid w:val="00312851"/>
    <w:rsid w:val="003128E1"/>
    <w:rsid w:val="003129EC"/>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251"/>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758"/>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1CD"/>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EF9"/>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39E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042B"/>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566"/>
    <w:rsid w:val="00436E82"/>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A73"/>
    <w:rsid w:val="00451BAE"/>
    <w:rsid w:val="00451E8A"/>
    <w:rsid w:val="0045217F"/>
    <w:rsid w:val="00452AA5"/>
    <w:rsid w:val="00452B74"/>
    <w:rsid w:val="00453097"/>
    <w:rsid w:val="00453284"/>
    <w:rsid w:val="00453425"/>
    <w:rsid w:val="0045369C"/>
    <w:rsid w:val="00454176"/>
    <w:rsid w:val="004543EF"/>
    <w:rsid w:val="0045444B"/>
    <w:rsid w:val="00454CF8"/>
    <w:rsid w:val="00454D15"/>
    <w:rsid w:val="00455021"/>
    <w:rsid w:val="00455332"/>
    <w:rsid w:val="004554C3"/>
    <w:rsid w:val="004556CC"/>
    <w:rsid w:val="00455776"/>
    <w:rsid w:val="00455955"/>
    <w:rsid w:val="00455B78"/>
    <w:rsid w:val="00455F21"/>
    <w:rsid w:val="004560FD"/>
    <w:rsid w:val="00456154"/>
    <w:rsid w:val="0045621B"/>
    <w:rsid w:val="00456B13"/>
    <w:rsid w:val="00456D10"/>
    <w:rsid w:val="00456DA3"/>
    <w:rsid w:val="00457071"/>
    <w:rsid w:val="0045776E"/>
    <w:rsid w:val="00457D02"/>
    <w:rsid w:val="00457E34"/>
    <w:rsid w:val="00457F23"/>
    <w:rsid w:val="004600F6"/>
    <w:rsid w:val="004612D9"/>
    <w:rsid w:val="004613EB"/>
    <w:rsid w:val="00461492"/>
    <w:rsid w:val="004615E0"/>
    <w:rsid w:val="0046166A"/>
    <w:rsid w:val="00461B29"/>
    <w:rsid w:val="00461C21"/>
    <w:rsid w:val="004622BA"/>
    <w:rsid w:val="00462373"/>
    <w:rsid w:val="00462E1E"/>
    <w:rsid w:val="0046343C"/>
    <w:rsid w:val="0046392C"/>
    <w:rsid w:val="00463954"/>
    <w:rsid w:val="004639FC"/>
    <w:rsid w:val="00464621"/>
    <w:rsid w:val="00464A12"/>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5DC3"/>
    <w:rsid w:val="00476138"/>
    <w:rsid w:val="0047617D"/>
    <w:rsid w:val="0047618D"/>
    <w:rsid w:val="00476947"/>
    <w:rsid w:val="00477B1F"/>
    <w:rsid w:val="00477B3D"/>
    <w:rsid w:val="00477C8D"/>
    <w:rsid w:val="00477D88"/>
    <w:rsid w:val="00477E8F"/>
    <w:rsid w:val="00477E95"/>
    <w:rsid w:val="00477F11"/>
    <w:rsid w:val="00480159"/>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2A18"/>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B7CDF"/>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1A6F"/>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4D6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098"/>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A7"/>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1B23"/>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47"/>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AE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7E5"/>
    <w:rsid w:val="005E5B79"/>
    <w:rsid w:val="005E5C95"/>
    <w:rsid w:val="005E5DAA"/>
    <w:rsid w:val="005E648D"/>
    <w:rsid w:val="005E6661"/>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1E7"/>
    <w:rsid w:val="00605B72"/>
    <w:rsid w:val="00605BDD"/>
    <w:rsid w:val="006066C3"/>
    <w:rsid w:val="00606731"/>
    <w:rsid w:val="00606962"/>
    <w:rsid w:val="00606993"/>
    <w:rsid w:val="00606CB5"/>
    <w:rsid w:val="00606D56"/>
    <w:rsid w:val="00607536"/>
    <w:rsid w:val="00607D93"/>
    <w:rsid w:val="006103E4"/>
    <w:rsid w:val="0061063E"/>
    <w:rsid w:val="00610973"/>
    <w:rsid w:val="00610B2A"/>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647"/>
    <w:rsid w:val="00640CBB"/>
    <w:rsid w:val="006415A1"/>
    <w:rsid w:val="006421A3"/>
    <w:rsid w:val="0064259E"/>
    <w:rsid w:val="00642908"/>
    <w:rsid w:val="00642916"/>
    <w:rsid w:val="00642A6C"/>
    <w:rsid w:val="00642F08"/>
    <w:rsid w:val="00643CA5"/>
    <w:rsid w:val="00643DB1"/>
    <w:rsid w:val="00643F5D"/>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3CE"/>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2960"/>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3CB"/>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6E8"/>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6E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5F8"/>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217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23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BB3"/>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53"/>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6FD3"/>
    <w:rsid w:val="0072740E"/>
    <w:rsid w:val="00727661"/>
    <w:rsid w:val="0072773D"/>
    <w:rsid w:val="00727804"/>
    <w:rsid w:val="00727988"/>
    <w:rsid w:val="007300C9"/>
    <w:rsid w:val="0073023D"/>
    <w:rsid w:val="00730366"/>
    <w:rsid w:val="0073088E"/>
    <w:rsid w:val="00730951"/>
    <w:rsid w:val="00730BA2"/>
    <w:rsid w:val="007310A7"/>
    <w:rsid w:val="00731186"/>
    <w:rsid w:val="007314A3"/>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6B8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C6D"/>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03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5FC0"/>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8B2"/>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2954"/>
    <w:rsid w:val="007A311B"/>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6ABD"/>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B80"/>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838"/>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4CBA"/>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34"/>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ADE"/>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B94"/>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62"/>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00"/>
    <w:rsid w:val="00857236"/>
    <w:rsid w:val="00857378"/>
    <w:rsid w:val="008575B3"/>
    <w:rsid w:val="008576D6"/>
    <w:rsid w:val="008577C0"/>
    <w:rsid w:val="0086001B"/>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3F84"/>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0A93"/>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53B"/>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8D0"/>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7E5"/>
    <w:rsid w:val="008D2B9A"/>
    <w:rsid w:val="008D2C78"/>
    <w:rsid w:val="008D2CB4"/>
    <w:rsid w:val="008D3D7E"/>
    <w:rsid w:val="008D4CF2"/>
    <w:rsid w:val="008D563E"/>
    <w:rsid w:val="008D5AB6"/>
    <w:rsid w:val="008D5E4D"/>
    <w:rsid w:val="008D6759"/>
    <w:rsid w:val="008D677B"/>
    <w:rsid w:val="008D719A"/>
    <w:rsid w:val="008D76A1"/>
    <w:rsid w:val="008D7A58"/>
    <w:rsid w:val="008D7A7C"/>
    <w:rsid w:val="008D7EAA"/>
    <w:rsid w:val="008E04A5"/>
    <w:rsid w:val="008E0713"/>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920"/>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060"/>
    <w:rsid w:val="0091023A"/>
    <w:rsid w:val="00910459"/>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6C7"/>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5E0"/>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9A0"/>
    <w:rsid w:val="00964A60"/>
    <w:rsid w:val="00964CBD"/>
    <w:rsid w:val="00964DEB"/>
    <w:rsid w:val="00965463"/>
    <w:rsid w:val="00965465"/>
    <w:rsid w:val="009657BA"/>
    <w:rsid w:val="00965A05"/>
    <w:rsid w:val="00965B1D"/>
    <w:rsid w:val="00966044"/>
    <w:rsid w:val="0096635E"/>
    <w:rsid w:val="009663B9"/>
    <w:rsid w:val="009666D1"/>
    <w:rsid w:val="009667E2"/>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34A1"/>
    <w:rsid w:val="00974429"/>
    <w:rsid w:val="00974ED5"/>
    <w:rsid w:val="00975E21"/>
    <w:rsid w:val="00976058"/>
    <w:rsid w:val="00976D19"/>
    <w:rsid w:val="00976FF4"/>
    <w:rsid w:val="009770B4"/>
    <w:rsid w:val="00977196"/>
    <w:rsid w:val="009779FF"/>
    <w:rsid w:val="00977F29"/>
    <w:rsid w:val="0098080D"/>
    <w:rsid w:val="0098087C"/>
    <w:rsid w:val="009808F3"/>
    <w:rsid w:val="0098091A"/>
    <w:rsid w:val="009810CF"/>
    <w:rsid w:val="009811BB"/>
    <w:rsid w:val="009812A9"/>
    <w:rsid w:val="009815BB"/>
    <w:rsid w:val="00981DA6"/>
    <w:rsid w:val="00981F75"/>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73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3FF"/>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3DB"/>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D42"/>
    <w:rsid w:val="009B2E7F"/>
    <w:rsid w:val="009B3491"/>
    <w:rsid w:val="009B393E"/>
    <w:rsid w:val="009B3BB4"/>
    <w:rsid w:val="009B4C7B"/>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CD5"/>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3"/>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571"/>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5E79"/>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D77"/>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08A"/>
    <w:rsid w:val="00A52742"/>
    <w:rsid w:val="00A53279"/>
    <w:rsid w:val="00A5327B"/>
    <w:rsid w:val="00A532DE"/>
    <w:rsid w:val="00A532F6"/>
    <w:rsid w:val="00A533DA"/>
    <w:rsid w:val="00A53650"/>
    <w:rsid w:val="00A536D1"/>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57C48"/>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CBF"/>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321"/>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8F6"/>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35"/>
    <w:rsid w:val="00AC64FD"/>
    <w:rsid w:val="00AC68F9"/>
    <w:rsid w:val="00AC6E80"/>
    <w:rsid w:val="00AC702A"/>
    <w:rsid w:val="00AC70FA"/>
    <w:rsid w:val="00AC758A"/>
    <w:rsid w:val="00AC76E5"/>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E7A7C"/>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6D6"/>
    <w:rsid w:val="00AF77BB"/>
    <w:rsid w:val="00AF78EA"/>
    <w:rsid w:val="00B00058"/>
    <w:rsid w:val="00B0009D"/>
    <w:rsid w:val="00B00B45"/>
    <w:rsid w:val="00B00DAF"/>
    <w:rsid w:val="00B00E53"/>
    <w:rsid w:val="00B01132"/>
    <w:rsid w:val="00B01917"/>
    <w:rsid w:val="00B01B5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8EF"/>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75F"/>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27FD9"/>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3FDA"/>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AC7"/>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B03"/>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5D7"/>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1B57"/>
    <w:rsid w:val="00BE23BE"/>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E88"/>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783"/>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399"/>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1D6"/>
    <w:rsid w:val="00C55735"/>
    <w:rsid w:val="00C557B6"/>
    <w:rsid w:val="00C55F86"/>
    <w:rsid w:val="00C5601D"/>
    <w:rsid w:val="00C5626B"/>
    <w:rsid w:val="00C56346"/>
    <w:rsid w:val="00C56908"/>
    <w:rsid w:val="00C56DF0"/>
    <w:rsid w:val="00C5752C"/>
    <w:rsid w:val="00C57794"/>
    <w:rsid w:val="00C57C34"/>
    <w:rsid w:val="00C57DBE"/>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9E5"/>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8E7"/>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95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87A"/>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5CCF"/>
    <w:rsid w:val="00CC5E53"/>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AA2"/>
    <w:rsid w:val="00CD7E4C"/>
    <w:rsid w:val="00CD7FF2"/>
    <w:rsid w:val="00CE0063"/>
    <w:rsid w:val="00CE0244"/>
    <w:rsid w:val="00CE026C"/>
    <w:rsid w:val="00CE044D"/>
    <w:rsid w:val="00CE063D"/>
    <w:rsid w:val="00CE0782"/>
    <w:rsid w:val="00CE0A63"/>
    <w:rsid w:val="00CE0FC2"/>
    <w:rsid w:val="00CE1259"/>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6DF5"/>
    <w:rsid w:val="00CE7307"/>
    <w:rsid w:val="00CE7C6C"/>
    <w:rsid w:val="00CE7D85"/>
    <w:rsid w:val="00CE7FA0"/>
    <w:rsid w:val="00CF0282"/>
    <w:rsid w:val="00CF0382"/>
    <w:rsid w:val="00CF0658"/>
    <w:rsid w:val="00CF09EC"/>
    <w:rsid w:val="00CF0CAC"/>
    <w:rsid w:val="00CF12DE"/>
    <w:rsid w:val="00CF1665"/>
    <w:rsid w:val="00CF170D"/>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C23"/>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132"/>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0FCF"/>
    <w:rsid w:val="00D71675"/>
    <w:rsid w:val="00D7168C"/>
    <w:rsid w:val="00D716FA"/>
    <w:rsid w:val="00D717ED"/>
    <w:rsid w:val="00D71CA7"/>
    <w:rsid w:val="00D72764"/>
    <w:rsid w:val="00D72A7A"/>
    <w:rsid w:val="00D72B94"/>
    <w:rsid w:val="00D72C21"/>
    <w:rsid w:val="00D72FD3"/>
    <w:rsid w:val="00D73BED"/>
    <w:rsid w:val="00D73C7A"/>
    <w:rsid w:val="00D73E8F"/>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598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CAD"/>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1A29"/>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41A"/>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13C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AEC"/>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761"/>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C6A"/>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4F83"/>
    <w:rsid w:val="00E5531F"/>
    <w:rsid w:val="00E554BD"/>
    <w:rsid w:val="00E55958"/>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0B9"/>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3C9"/>
    <w:rsid w:val="00E956A6"/>
    <w:rsid w:val="00E959B1"/>
    <w:rsid w:val="00E95A31"/>
    <w:rsid w:val="00E95AD4"/>
    <w:rsid w:val="00E960A1"/>
    <w:rsid w:val="00E969A6"/>
    <w:rsid w:val="00E96D73"/>
    <w:rsid w:val="00E9753D"/>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DE4"/>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06"/>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E60"/>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384"/>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9B"/>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439"/>
    <w:rsid w:val="00EF1DBA"/>
    <w:rsid w:val="00EF2447"/>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1EC"/>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685"/>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4FFA"/>
    <w:rsid w:val="00F755D4"/>
    <w:rsid w:val="00F75E24"/>
    <w:rsid w:val="00F75F10"/>
    <w:rsid w:val="00F762CA"/>
    <w:rsid w:val="00F76E52"/>
    <w:rsid w:val="00F76E7A"/>
    <w:rsid w:val="00F76F0A"/>
    <w:rsid w:val="00F770BC"/>
    <w:rsid w:val="00F77BB8"/>
    <w:rsid w:val="00F77CF0"/>
    <w:rsid w:val="00F77F47"/>
    <w:rsid w:val="00F80143"/>
    <w:rsid w:val="00F801B8"/>
    <w:rsid w:val="00F8045C"/>
    <w:rsid w:val="00F80814"/>
    <w:rsid w:val="00F808EB"/>
    <w:rsid w:val="00F80A8B"/>
    <w:rsid w:val="00F8110D"/>
    <w:rsid w:val="00F8170D"/>
    <w:rsid w:val="00F8197D"/>
    <w:rsid w:val="00F81C9F"/>
    <w:rsid w:val="00F81FA2"/>
    <w:rsid w:val="00F8295A"/>
    <w:rsid w:val="00F8301C"/>
    <w:rsid w:val="00F8307A"/>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E92"/>
    <w:rsid w:val="00FA3F0C"/>
    <w:rsid w:val="00FA41B4"/>
    <w:rsid w:val="00FA490E"/>
    <w:rsid w:val="00FA4A66"/>
    <w:rsid w:val="00FA558A"/>
    <w:rsid w:val="00FA5759"/>
    <w:rsid w:val="00FA6165"/>
    <w:rsid w:val="00FA61F4"/>
    <w:rsid w:val="00FA62FB"/>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2BF"/>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1D04"/>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6E0F"/>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633"/>
    <w:rsid w:val="00FE688E"/>
    <w:rsid w:val="00FE697D"/>
    <w:rsid w:val="00FE6F1A"/>
    <w:rsid w:val="00FE7736"/>
    <w:rsid w:val="00FF003E"/>
    <w:rsid w:val="00FF0088"/>
    <w:rsid w:val="00FF04BA"/>
    <w:rsid w:val="00FF0A1F"/>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091264"/>
    <w:rsid w:val="0117325D"/>
    <w:rsid w:val="01247F28"/>
    <w:rsid w:val="012524DF"/>
    <w:rsid w:val="0154227C"/>
    <w:rsid w:val="01623DF4"/>
    <w:rsid w:val="0164403D"/>
    <w:rsid w:val="016A2D60"/>
    <w:rsid w:val="0187514E"/>
    <w:rsid w:val="018D61B3"/>
    <w:rsid w:val="018E1EEF"/>
    <w:rsid w:val="01AC593B"/>
    <w:rsid w:val="01D74EB5"/>
    <w:rsid w:val="01E376C5"/>
    <w:rsid w:val="01F46D9C"/>
    <w:rsid w:val="01F93655"/>
    <w:rsid w:val="01FD7DDE"/>
    <w:rsid w:val="01FE54F9"/>
    <w:rsid w:val="021E7A31"/>
    <w:rsid w:val="02213A96"/>
    <w:rsid w:val="02223535"/>
    <w:rsid w:val="023E1C8F"/>
    <w:rsid w:val="02536DBD"/>
    <w:rsid w:val="02573CBE"/>
    <w:rsid w:val="025D2C12"/>
    <w:rsid w:val="026E0645"/>
    <w:rsid w:val="029D235A"/>
    <w:rsid w:val="029D6CC8"/>
    <w:rsid w:val="02AE2102"/>
    <w:rsid w:val="02B82430"/>
    <w:rsid w:val="02D72BFD"/>
    <w:rsid w:val="02EB1A31"/>
    <w:rsid w:val="02EB6620"/>
    <w:rsid w:val="02F96ACA"/>
    <w:rsid w:val="0306050F"/>
    <w:rsid w:val="0314180D"/>
    <w:rsid w:val="032646E9"/>
    <w:rsid w:val="032832F7"/>
    <w:rsid w:val="032B466A"/>
    <w:rsid w:val="033B10B7"/>
    <w:rsid w:val="03427339"/>
    <w:rsid w:val="03427EAF"/>
    <w:rsid w:val="03444BA9"/>
    <w:rsid w:val="03507C95"/>
    <w:rsid w:val="035F1C72"/>
    <w:rsid w:val="038F18B2"/>
    <w:rsid w:val="03914DF6"/>
    <w:rsid w:val="0391568C"/>
    <w:rsid w:val="039E3D65"/>
    <w:rsid w:val="03AD0B64"/>
    <w:rsid w:val="03B1471C"/>
    <w:rsid w:val="03B15A48"/>
    <w:rsid w:val="03B47CC2"/>
    <w:rsid w:val="03B97B8A"/>
    <w:rsid w:val="03CD04FE"/>
    <w:rsid w:val="0409382B"/>
    <w:rsid w:val="041E195A"/>
    <w:rsid w:val="042B6751"/>
    <w:rsid w:val="042C2173"/>
    <w:rsid w:val="04447C19"/>
    <w:rsid w:val="045C1EAC"/>
    <w:rsid w:val="045C5FCC"/>
    <w:rsid w:val="0469222B"/>
    <w:rsid w:val="046C16DB"/>
    <w:rsid w:val="046F3E06"/>
    <w:rsid w:val="04702686"/>
    <w:rsid w:val="0478464E"/>
    <w:rsid w:val="047B0CB5"/>
    <w:rsid w:val="04847980"/>
    <w:rsid w:val="04855E9F"/>
    <w:rsid w:val="048B2CD8"/>
    <w:rsid w:val="0495477A"/>
    <w:rsid w:val="04A3497F"/>
    <w:rsid w:val="04BD0BCD"/>
    <w:rsid w:val="04BD4B21"/>
    <w:rsid w:val="04C21F07"/>
    <w:rsid w:val="04CB6EE5"/>
    <w:rsid w:val="04D46D9A"/>
    <w:rsid w:val="04D6453F"/>
    <w:rsid w:val="04DE21BA"/>
    <w:rsid w:val="04DF2366"/>
    <w:rsid w:val="04E954F9"/>
    <w:rsid w:val="05054366"/>
    <w:rsid w:val="052D5348"/>
    <w:rsid w:val="055A453B"/>
    <w:rsid w:val="05610EB1"/>
    <w:rsid w:val="0569767E"/>
    <w:rsid w:val="057B1A00"/>
    <w:rsid w:val="058B1B5A"/>
    <w:rsid w:val="05922959"/>
    <w:rsid w:val="059458BD"/>
    <w:rsid w:val="05A10C09"/>
    <w:rsid w:val="05A449BD"/>
    <w:rsid w:val="05A87743"/>
    <w:rsid w:val="05B11E5B"/>
    <w:rsid w:val="05BD29B3"/>
    <w:rsid w:val="05C83981"/>
    <w:rsid w:val="05C91534"/>
    <w:rsid w:val="05CA44DC"/>
    <w:rsid w:val="05CC435C"/>
    <w:rsid w:val="05D26E77"/>
    <w:rsid w:val="05E40A5A"/>
    <w:rsid w:val="05E57DF5"/>
    <w:rsid w:val="05E80006"/>
    <w:rsid w:val="05E8312B"/>
    <w:rsid w:val="05EC78F9"/>
    <w:rsid w:val="05F37723"/>
    <w:rsid w:val="05FA3D33"/>
    <w:rsid w:val="060A2994"/>
    <w:rsid w:val="061A428C"/>
    <w:rsid w:val="061A71F5"/>
    <w:rsid w:val="062625A1"/>
    <w:rsid w:val="06270BD1"/>
    <w:rsid w:val="062E0E63"/>
    <w:rsid w:val="0651209E"/>
    <w:rsid w:val="06555790"/>
    <w:rsid w:val="06690485"/>
    <w:rsid w:val="06704A18"/>
    <w:rsid w:val="0676392C"/>
    <w:rsid w:val="068A0138"/>
    <w:rsid w:val="069731D1"/>
    <w:rsid w:val="06AB3E74"/>
    <w:rsid w:val="06B178C7"/>
    <w:rsid w:val="06B8636B"/>
    <w:rsid w:val="06BD2CCF"/>
    <w:rsid w:val="06D767B9"/>
    <w:rsid w:val="06D77B20"/>
    <w:rsid w:val="06D96BBE"/>
    <w:rsid w:val="06E441FD"/>
    <w:rsid w:val="06EB6473"/>
    <w:rsid w:val="06F51DB4"/>
    <w:rsid w:val="0711734E"/>
    <w:rsid w:val="07205B22"/>
    <w:rsid w:val="07245592"/>
    <w:rsid w:val="07320A97"/>
    <w:rsid w:val="074C76BF"/>
    <w:rsid w:val="07565DE1"/>
    <w:rsid w:val="0767233E"/>
    <w:rsid w:val="07721FC1"/>
    <w:rsid w:val="077C331C"/>
    <w:rsid w:val="07811C6E"/>
    <w:rsid w:val="078D573F"/>
    <w:rsid w:val="07AA7835"/>
    <w:rsid w:val="07B050EE"/>
    <w:rsid w:val="07CC459A"/>
    <w:rsid w:val="07D44A96"/>
    <w:rsid w:val="07FB5546"/>
    <w:rsid w:val="080F52AC"/>
    <w:rsid w:val="081437EE"/>
    <w:rsid w:val="081A5A43"/>
    <w:rsid w:val="081D1A74"/>
    <w:rsid w:val="08436133"/>
    <w:rsid w:val="0850442E"/>
    <w:rsid w:val="08542925"/>
    <w:rsid w:val="086211CC"/>
    <w:rsid w:val="086B53B3"/>
    <w:rsid w:val="086D1AB2"/>
    <w:rsid w:val="0882388F"/>
    <w:rsid w:val="08932B35"/>
    <w:rsid w:val="08A11185"/>
    <w:rsid w:val="08A7061A"/>
    <w:rsid w:val="08B20F06"/>
    <w:rsid w:val="08C80B82"/>
    <w:rsid w:val="08CD1299"/>
    <w:rsid w:val="08DF24CE"/>
    <w:rsid w:val="08E04E55"/>
    <w:rsid w:val="08E33485"/>
    <w:rsid w:val="08FA1E24"/>
    <w:rsid w:val="09163887"/>
    <w:rsid w:val="092F685F"/>
    <w:rsid w:val="09324EA3"/>
    <w:rsid w:val="09342D76"/>
    <w:rsid w:val="096F43C1"/>
    <w:rsid w:val="09892A86"/>
    <w:rsid w:val="0995770F"/>
    <w:rsid w:val="099C5E29"/>
    <w:rsid w:val="09A31ADE"/>
    <w:rsid w:val="09A34477"/>
    <w:rsid w:val="09A64982"/>
    <w:rsid w:val="09A84B86"/>
    <w:rsid w:val="09B842C1"/>
    <w:rsid w:val="09B87134"/>
    <w:rsid w:val="09CA74D8"/>
    <w:rsid w:val="09CB088B"/>
    <w:rsid w:val="09CF0628"/>
    <w:rsid w:val="09D05F2B"/>
    <w:rsid w:val="09D21E48"/>
    <w:rsid w:val="09D805D8"/>
    <w:rsid w:val="09E163AF"/>
    <w:rsid w:val="09EB4E3C"/>
    <w:rsid w:val="09ED10B4"/>
    <w:rsid w:val="09ED1405"/>
    <w:rsid w:val="09F30681"/>
    <w:rsid w:val="09F35C15"/>
    <w:rsid w:val="09FC5BDF"/>
    <w:rsid w:val="09FF004E"/>
    <w:rsid w:val="0A1039CB"/>
    <w:rsid w:val="0A130914"/>
    <w:rsid w:val="0A284254"/>
    <w:rsid w:val="0A2E4949"/>
    <w:rsid w:val="0A3C185B"/>
    <w:rsid w:val="0A41567E"/>
    <w:rsid w:val="0A4D64E7"/>
    <w:rsid w:val="0A5A0CCD"/>
    <w:rsid w:val="0A5B723D"/>
    <w:rsid w:val="0A7B003B"/>
    <w:rsid w:val="0A8D18B2"/>
    <w:rsid w:val="0A956ECF"/>
    <w:rsid w:val="0A99506A"/>
    <w:rsid w:val="0AA748B4"/>
    <w:rsid w:val="0AAB47D2"/>
    <w:rsid w:val="0ABF3951"/>
    <w:rsid w:val="0AC71361"/>
    <w:rsid w:val="0AD03DDD"/>
    <w:rsid w:val="0ADA696F"/>
    <w:rsid w:val="0AE21481"/>
    <w:rsid w:val="0AEF34AD"/>
    <w:rsid w:val="0AFF422C"/>
    <w:rsid w:val="0B0E0548"/>
    <w:rsid w:val="0B0E110D"/>
    <w:rsid w:val="0B20570F"/>
    <w:rsid w:val="0B3365C3"/>
    <w:rsid w:val="0B3C37E4"/>
    <w:rsid w:val="0B4308FD"/>
    <w:rsid w:val="0B456DE9"/>
    <w:rsid w:val="0B4A6F53"/>
    <w:rsid w:val="0B743E22"/>
    <w:rsid w:val="0B7B71AB"/>
    <w:rsid w:val="0B832850"/>
    <w:rsid w:val="0B834722"/>
    <w:rsid w:val="0B952B7C"/>
    <w:rsid w:val="0BA21292"/>
    <w:rsid w:val="0BB25E0A"/>
    <w:rsid w:val="0BB51D87"/>
    <w:rsid w:val="0BBD3D04"/>
    <w:rsid w:val="0BBE3C20"/>
    <w:rsid w:val="0BD26E8A"/>
    <w:rsid w:val="0BF12495"/>
    <w:rsid w:val="0BF30C41"/>
    <w:rsid w:val="0BFD0200"/>
    <w:rsid w:val="0BFD38B9"/>
    <w:rsid w:val="0C065A57"/>
    <w:rsid w:val="0C29592D"/>
    <w:rsid w:val="0C424F2B"/>
    <w:rsid w:val="0C606FB6"/>
    <w:rsid w:val="0C817F27"/>
    <w:rsid w:val="0C83148E"/>
    <w:rsid w:val="0C88343C"/>
    <w:rsid w:val="0CB7004E"/>
    <w:rsid w:val="0CBA436B"/>
    <w:rsid w:val="0CC02A82"/>
    <w:rsid w:val="0CC173A2"/>
    <w:rsid w:val="0CCC39BF"/>
    <w:rsid w:val="0CDC5B2F"/>
    <w:rsid w:val="0CDD138A"/>
    <w:rsid w:val="0CE31AFF"/>
    <w:rsid w:val="0CE34C4E"/>
    <w:rsid w:val="0CEB7782"/>
    <w:rsid w:val="0CED2DBC"/>
    <w:rsid w:val="0CF64D30"/>
    <w:rsid w:val="0D042712"/>
    <w:rsid w:val="0D132D1C"/>
    <w:rsid w:val="0D175B09"/>
    <w:rsid w:val="0D1F1A19"/>
    <w:rsid w:val="0D210A63"/>
    <w:rsid w:val="0D2C73EC"/>
    <w:rsid w:val="0D2C7B83"/>
    <w:rsid w:val="0D3306AE"/>
    <w:rsid w:val="0D3876E0"/>
    <w:rsid w:val="0D4E6418"/>
    <w:rsid w:val="0D4F38C2"/>
    <w:rsid w:val="0D5072EA"/>
    <w:rsid w:val="0D513220"/>
    <w:rsid w:val="0D55085B"/>
    <w:rsid w:val="0D6214CA"/>
    <w:rsid w:val="0D6C5B05"/>
    <w:rsid w:val="0D767560"/>
    <w:rsid w:val="0D867816"/>
    <w:rsid w:val="0D9760A2"/>
    <w:rsid w:val="0D9B64B0"/>
    <w:rsid w:val="0D9C4D64"/>
    <w:rsid w:val="0DB7254D"/>
    <w:rsid w:val="0DC2791D"/>
    <w:rsid w:val="0DC93D9A"/>
    <w:rsid w:val="0DCB1EEE"/>
    <w:rsid w:val="0DCF10CC"/>
    <w:rsid w:val="0DDA40DD"/>
    <w:rsid w:val="0DDA5438"/>
    <w:rsid w:val="0DDE1DBA"/>
    <w:rsid w:val="0DDF2164"/>
    <w:rsid w:val="0E071D17"/>
    <w:rsid w:val="0E0F567A"/>
    <w:rsid w:val="0E135CB6"/>
    <w:rsid w:val="0E284A8F"/>
    <w:rsid w:val="0E311C35"/>
    <w:rsid w:val="0E35270C"/>
    <w:rsid w:val="0E625BE5"/>
    <w:rsid w:val="0E7146DA"/>
    <w:rsid w:val="0E7822AC"/>
    <w:rsid w:val="0E7E4079"/>
    <w:rsid w:val="0E8C5CCB"/>
    <w:rsid w:val="0E8D7FB3"/>
    <w:rsid w:val="0E924E6E"/>
    <w:rsid w:val="0E9F6445"/>
    <w:rsid w:val="0EBD16B6"/>
    <w:rsid w:val="0EC11272"/>
    <w:rsid w:val="0ED07CF2"/>
    <w:rsid w:val="0EF82F3C"/>
    <w:rsid w:val="0F155AF7"/>
    <w:rsid w:val="0F1A1BAB"/>
    <w:rsid w:val="0F3C3770"/>
    <w:rsid w:val="0F491A06"/>
    <w:rsid w:val="0F5B47F3"/>
    <w:rsid w:val="0F716F41"/>
    <w:rsid w:val="0F755790"/>
    <w:rsid w:val="0F793A0D"/>
    <w:rsid w:val="0F830CF8"/>
    <w:rsid w:val="0F896791"/>
    <w:rsid w:val="0F8A209C"/>
    <w:rsid w:val="0FA50F6C"/>
    <w:rsid w:val="0FBD385E"/>
    <w:rsid w:val="0FC34BA6"/>
    <w:rsid w:val="0FCC5F2C"/>
    <w:rsid w:val="0FD43FC3"/>
    <w:rsid w:val="0FD60E0E"/>
    <w:rsid w:val="0FDD4EEE"/>
    <w:rsid w:val="0FE353A5"/>
    <w:rsid w:val="101E1228"/>
    <w:rsid w:val="102046BB"/>
    <w:rsid w:val="1024524E"/>
    <w:rsid w:val="102F11E2"/>
    <w:rsid w:val="104B52D0"/>
    <w:rsid w:val="104E4A64"/>
    <w:rsid w:val="104E50C4"/>
    <w:rsid w:val="10542611"/>
    <w:rsid w:val="105D13C1"/>
    <w:rsid w:val="106633D1"/>
    <w:rsid w:val="10B14313"/>
    <w:rsid w:val="10B55E31"/>
    <w:rsid w:val="10B776CF"/>
    <w:rsid w:val="10C536AD"/>
    <w:rsid w:val="10CE7F81"/>
    <w:rsid w:val="10DB0B79"/>
    <w:rsid w:val="10ED6BEC"/>
    <w:rsid w:val="10F70AEB"/>
    <w:rsid w:val="10FC4209"/>
    <w:rsid w:val="11181E77"/>
    <w:rsid w:val="111A6C63"/>
    <w:rsid w:val="112F2232"/>
    <w:rsid w:val="1130448C"/>
    <w:rsid w:val="1131759B"/>
    <w:rsid w:val="1136212B"/>
    <w:rsid w:val="113B6AE7"/>
    <w:rsid w:val="113F513E"/>
    <w:rsid w:val="114121BD"/>
    <w:rsid w:val="114617FE"/>
    <w:rsid w:val="11595CDE"/>
    <w:rsid w:val="116644C6"/>
    <w:rsid w:val="11696138"/>
    <w:rsid w:val="117A3248"/>
    <w:rsid w:val="11835746"/>
    <w:rsid w:val="119553FE"/>
    <w:rsid w:val="119A3DD1"/>
    <w:rsid w:val="11AF0A92"/>
    <w:rsid w:val="11B701CD"/>
    <w:rsid w:val="11D972EE"/>
    <w:rsid w:val="11E81432"/>
    <w:rsid w:val="11F03717"/>
    <w:rsid w:val="11F740B0"/>
    <w:rsid w:val="11F9509C"/>
    <w:rsid w:val="12085C20"/>
    <w:rsid w:val="12245149"/>
    <w:rsid w:val="123922F2"/>
    <w:rsid w:val="123C639F"/>
    <w:rsid w:val="125104D9"/>
    <w:rsid w:val="126803A3"/>
    <w:rsid w:val="12724391"/>
    <w:rsid w:val="127432EE"/>
    <w:rsid w:val="12941839"/>
    <w:rsid w:val="12992582"/>
    <w:rsid w:val="12A43121"/>
    <w:rsid w:val="12C14924"/>
    <w:rsid w:val="12C779E6"/>
    <w:rsid w:val="12DD5A4C"/>
    <w:rsid w:val="12E734A4"/>
    <w:rsid w:val="12E9532A"/>
    <w:rsid w:val="12F47D71"/>
    <w:rsid w:val="1314693C"/>
    <w:rsid w:val="133505A5"/>
    <w:rsid w:val="133E1CF9"/>
    <w:rsid w:val="1347637A"/>
    <w:rsid w:val="13486520"/>
    <w:rsid w:val="13580386"/>
    <w:rsid w:val="13626F7B"/>
    <w:rsid w:val="13712629"/>
    <w:rsid w:val="13727E58"/>
    <w:rsid w:val="137C5099"/>
    <w:rsid w:val="138523E3"/>
    <w:rsid w:val="139729B9"/>
    <w:rsid w:val="13B5541C"/>
    <w:rsid w:val="13C279EA"/>
    <w:rsid w:val="13D8065C"/>
    <w:rsid w:val="13DB15B5"/>
    <w:rsid w:val="13E5720D"/>
    <w:rsid w:val="13EC2B7A"/>
    <w:rsid w:val="13ED01EF"/>
    <w:rsid w:val="13F53E8E"/>
    <w:rsid w:val="13F75F54"/>
    <w:rsid w:val="13F82977"/>
    <w:rsid w:val="13FA2D5E"/>
    <w:rsid w:val="13FD146E"/>
    <w:rsid w:val="14084D2D"/>
    <w:rsid w:val="140E673B"/>
    <w:rsid w:val="142A7D52"/>
    <w:rsid w:val="14317B28"/>
    <w:rsid w:val="14411070"/>
    <w:rsid w:val="144F64AA"/>
    <w:rsid w:val="14550190"/>
    <w:rsid w:val="1467445B"/>
    <w:rsid w:val="146F1C00"/>
    <w:rsid w:val="14711BFA"/>
    <w:rsid w:val="14740A88"/>
    <w:rsid w:val="148B11CF"/>
    <w:rsid w:val="148E4C8E"/>
    <w:rsid w:val="149A0AF6"/>
    <w:rsid w:val="14B0049A"/>
    <w:rsid w:val="14C0438E"/>
    <w:rsid w:val="14D7124B"/>
    <w:rsid w:val="14E6770C"/>
    <w:rsid w:val="1501704B"/>
    <w:rsid w:val="15174763"/>
    <w:rsid w:val="153322FD"/>
    <w:rsid w:val="154A0124"/>
    <w:rsid w:val="154F20B8"/>
    <w:rsid w:val="1554130A"/>
    <w:rsid w:val="1577040C"/>
    <w:rsid w:val="1591534A"/>
    <w:rsid w:val="159A5029"/>
    <w:rsid w:val="15B10D29"/>
    <w:rsid w:val="15BA22F5"/>
    <w:rsid w:val="15C33508"/>
    <w:rsid w:val="15C9424C"/>
    <w:rsid w:val="15CB01DE"/>
    <w:rsid w:val="15CE14A2"/>
    <w:rsid w:val="15DA715F"/>
    <w:rsid w:val="15E36279"/>
    <w:rsid w:val="15EB2183"/>
    <w:rsid w:val="15F009E1"/>
    <w:rsid w:val="15F81424"/>
    <w:rsid w:val="16013305"/>
    <w:rsid w:val="160A33D9"/>
    <w:rsid w:val="160A5D29"/>
    <w:rsid w:val="160F2DEB"/>
    <w:rsid w:val="16197098"/>
    <w:rsid w:val="162B55FD"/>
    <w:rsid w:val="162D44E8"/>
    <w:rsid w:val="1636118B"/>
    <w:rsid w:val="163B08C4"/>
    <w:rsid w:val="163E3A6D"/>
    <w:rsid w:val="164203D4"/>
    <w:rsid w:val="165B05D3"/>
    <w:rsid w:val="16706E10"/>
    <w:rsid w:val="167342D2"/>
    <w:rsid w:val="167566A4"/>
    <w:rsid w:val="16883C7E"/>
    <w:rsid w:val="16AF4813"/>
    <w:rsid w:val="16B4623F"/>
    <w:rsid w:val="16BF4501"/>
    <w:rsid w:val="16D3689B"/>
    <w:rsid w:val="16D4453B"/>
    <w:rsid w:val="16D46636"/>
    <w:rsid w:val="16EB3239"/>
    <w:rsid w:val="170C14B3"/>
    <w:rsid w:val="172447B1"/>
    <w:rsid w:val="172C354D"/>
    <w:rsid w:val="173B36FD"/>
    <w:rsid w:val="173C0AAA"/>
    <w:rsid w:val="173E0E43"/>
    <w:rsid w:val="17536DDF"/>
    <w:rsid w:val="17647E47"/>
    <w:rsid w:val="176647B8"/>
    <w:rsid w:val="1768135A"/>
    <w:rsid w:val="17721467"/>
    <w:rsid w:val="17787EAB"/>
    <w:rsid w:val="177C5487"/>
    <w:rsid w:val="177D428E"/>
    <w:rsid w:val="178914BD"/>
    <w:rsid w:val="178B14C4"/>
    <w:rsid w:val="178E7356"/>
    <w:rsid w:val="178F55CC"/>
    <w:rsid w:val="179B6E6F"/>
    <w:rsid w:val="179D6DFA"/>
    <w:rsid w:val="17B824FE"/>
    <w:rsid w:val="17CA1C3B"/>
    <w:rsid w:val="17CB4230"/>
    <w:rsid w:val="17CF33F8"/>
    <w:rsid w:val="17D60A1F"/>
    <w:rsid w:val="17E04D27"/>
    <w:rsid w:val="17E45336"/>
    <w:rsid w:val="1808459B"/>
    <w:rsid w:val="180E65A7"/>
    <w:rsid w:val="180F61DB"/>
    <w:rsid w:val="18192DE8"/>
    <w:rsid w:val="18373013"/>
    <w:rsid w:val="183F6921"/>
    <w:rsid w:val="184149AC"/>
    <w:rsid w:val="184952EB"/>
    <w:rsid w:val="18543B80"/>
    <w:rsid w:val="18646D13"/>
    <w:rsid w:val="18676ED7"/>
    <w:rsid w:val="18794C08"/>
    <w:rsid w:val="187C410A"/>
    <w:rsid w:val="188F5E49"/>
    <w:rsid w:val="189476C9"/>
    <w:rsid w:val="18A95EE8"/>
    <w:rsid w:val="18B40DDC"/>
    <w:rsid w:val="18CB50F0"/>
    <w:rsid w:val="18D63E74"/>
    <w:rsid w:val="18EC1E11"/>
    <w:rsid w:val="18F01878"/>
    <w:rsid w:val="19254C43"/>
    <w:rsid w:val="1935549E"/>
    <w:rsid w:val="193E202F"/>
    <w:rsid w:val="19405B13"/>
    <w:rsid w:val="194B5373"/>
    <w:rsid w:val="195230A8"/>
    <w:rsid w:val="19560744"/>
    <w:rsid w:val="195D5B4F"/>
    <w:rsid w:val="19651764"/>
    <w:rsid w:val="19673779"/>
    <w:rsid w:val="19813723"/>
    <w:rsid w:val="198F45DD"/>
    <w:rsid w:val="199126C8"/>
    <w:rsid w:val="199B72B2"/>
    <w:rsid w:val="19A324C8"/>
    <w:rsid w:val="19B301EC"/>
    <w:rsid w:val="19C83880"/>
    <w:rsid w:val="19CE7110"/>
    <w:rsid w:val="19DB75E4"/>
    <w:rsid w:val="19DC52BF"/>
    <w:rsid w:val="19E85998"/>
    <w:rsid w:val="19FE163E"/>
    <w:rsid w:val="19FE62E3"/>
    <w:rsid w:val="1A072B35"/>
    <w:rsid w:val="1A086F95"/>
    <w:rsid w:val="1A0A2B4C"/>
    <w:rsid w:val="1A177F4E"/>
    <w:rsid w:val="1A1F0F22"/>
    <w:rsid w:val="1A2D04DE"/>
    <w:rsid w:val="1A3869CD"/>
    <w:rsid w:val="1A454E93"/>
    <w:rsid w:val="1A457FCB"/>
    <w:rsid w:val="1A4C5CB7"/>
    <w:rsid w:val="1A5F0B47"/>
    <w:rsid w:val="1A904CAD"/>
    <w:rsid w:val="1AA26902"/>
    <w:rsid w:val="1AAA1F84"/>
    <w:rsid w:val="1AB00207"/>
    <w:rsid w:val="1AB43AAF"/>
    <w:rsid w:val="1ABE7D37"/>
    <w:rsid w:val="1AC1475C"/>
    <w:rsid w:val="1ACE08E9"/>
    <w:rsid w:val="1AD77DFF"/>
    <w:rsid w:val="1ADD0D46"/>
    <w:rsid w:val="1AE10821"/>
    <w:rsid w:val="1AE16C19"/>
    <w:rsid w:val="1AEC6EB7"/>
    <w:rsid w:val="1AED60B5"/>
    <w:rsid w:val="1AFC4C36"/>
    <w:rsid w:val="1B005D63"/>
    <w:rsid w:val="1B1B27AF"/>
    <w:rsid w:val="1B390E7A"/>
    <w:rsid w:val="1B3D3431"/>
    <w:rsid w:val="1B4C7093"/>
    <w:rsid w:val="1B6B406D"/>
    <w:rsid w:val="1B7E731D"/>
    <w:rsid w:val="1B864F7E"/>
    <w:rsid w:val="1BB247CF"/>
    <w:rsid w:val="1BB702F3"/>
    <w:rsid w:val="1BF2544F"/>
    <w:rsid w:val="1C132893"/>
    <w:rsid w:val="1C137FDC"/>
    <w:rsid w:val="1C215368"/>
    <w:rsid w:val="1C2761F3"/>
    <w:rsid w:val="1C496310"/>
    <w:rsid w:val="1C5D4224"/>
    <w:rsid w:val="1C5D752B"/>
    <w:rsid w:val="1C5E1E39"/>
    <w:rsid w:val="1C7B0601"/>
    <w:rsid w:val="1C856B73"/>
    <w:rsid w:val="1C9242AB"/>
    <w:rsid w:val="1C932755"/>
    <w:rsid w:val="1CA72CB3"/>
    <w:rsid w:val="1CA8046F"/>
    <w:rsid w:val="1CAB511B"/>
    <w:rsid w:val="1CB02827"/>
    <w:rsid w:val="1CD84E90"/>
    <w:rsid w:val="1D012440"/>
    <w:rsid w:val="1D0528F4"/>
    <w:rsid w:val="1D185D6A"/>
    <w:rsid w:val="1D1E5455"/>
    <w:rsid w:val="1D237539"/>
    <w:rsid w:val="1D296EF5"/>
    <w:rsid w:val="1D436989"/>
    <w:rsid w:val="1D4A5BDB"/>
    <w:rsid w:val="1D553BF2"/>
    <w:rsid w:val="1D6D1D09"/>
    <w:rsid w:val="1D6F1BC7"/>
    <w:rsid w:val="1D742C53"/>
    <w:rsid w:val="1D804F80"/>
    <w:rsid w:val="1D933890"/>
    <w:rsid w:val="1D9F13A1"/>
    <w:rsid w:val="1DA958F6"/>
    <w:rsid w:val="1DBA61EE"/>
    <w:rsid w:val="1DC63A91"/>
    <w:rsid w:val="1DD15724"/>
    <w:rsid w:val="1DE4460A"/>
    <w:rsid w:val="1DE6752F"/>
    <w:rsid w:val="1E013264"/>
    <w:rsid w:val="1E0254E3"/>
    <w:rsid w:val="1E1C765A"/>
    <w:rsid w:val="1E262A27"/>
    <w:rsid w:val="1E276273"/>
    <w:rsid w:val="1E2F3E70"/>
    <w:rsid w:val="1E335389"/>
    <w:rsid w:val="1E434C17"/>
    <w:rsid w:val="1E482687"/>
    <w:rsid w:val="1E5707DE"/>
    <w:rsid w:val="1E690A40"/>
    <w:rsid w:val="1E740F0D"/>
    <w:rsid w:val="1E783075"/>
    <w:rsid w:val="1E7922D7"/>
    <w:rsid w:val="1E7B74BF"/>
    <w:rsid w:val="1E8A3897"/>
    <w:rsid w:val="1EA36749"/>
    <w:rsid w:val="1EC23A55"/>
    <w:rsid w:val="1EC74FA2"/>
    <w:rsid w:val="1ECC08F6"/>
    <w:rsid w:val="1EDE3E4D"/>
    <w:rsid w:val="1EE8511E"/>
    <w:rsid w:val="1EF6321B"/>
    <w:rsid w:val="1EF64445"/>
    <w:rsid w:val="1EFF5E6A"/>
    <w:rsid w:val="1F0C25D9"/>
    <w:rsid w:val="1F170CC0"/>
    <w:rsid w:val="1F334F71"/>
    <w:rsid w:val="1F354DB1"/>
    <w:rsid w:val="1F365B3C"/>
    <w:rsid w:val="1F3A277D"/>
    <w:rsid w:val="1F401903"/>
    <w:rsid w:val="1F601D4D"/>
    <w:rsid w:val="1F73287F"/>
    <w:rsid w:val="1F7F1019"/>
    <w:rsid w:val="1F843DE6"/>
    <w:rsid w:val="1F964617"/>
    <w:rsid w:val="1F9675F9"/>
    <w:rsid w:val="1FC1366A"/>
    <w:rsid w:val="1FD02776"/>
    <w:rsid w:val="1FD44493"/>
    <w:rsid w:val="1FE7187E"/>
    <w:rsid w:val="1FF037A6"/>
    <w:rsid w:val="1FF51C68"/>
    <w:rsid w:val="1FF72138"/>
    <w:rsid w:val="20073519"/>
    <w:rsid w:val="202E3036"/>
    <w:rsid w:val="205516BE"/>
    <w:rsid w:val="205965D9"/>
    <w:rsid w:val="2072036C"/>
    <w:rsid w:val="2074218C"/>
    <w:rsid w:val="208166FD"/>
    <w:rsid w:val="208D640A"/>
    <w:rsid w:val="20913FD0"/>
    <w:rsid w:val="20941DD8"/>
    <w:rsid w:val="209C51FA"/>
    <w:rsid w:val="209E0CEA"/>
    <w:rsid w:val="20E02AC0"/>
    <w:rsid w:val="20EC41BB"/>
    <w:rsid w:val="21253661"/>
    <w:rsid w:val="2126496E"/>
    <w:rsid w:val="213B5CD2"/>
    <w:rsid w:val="21494A22"/>
    <w:rsid w:val="214D2E41"/>
    <w:rsid w:val="215940ED"/>
    <w:rsid w:val="215F3073"/>
    <w:rsid w:val="21656360"/>
    <w:rsid w:val="216D33DF"/>
    <w:rsid w:val="21724281"/>
    <w:rsid w:val="217B13A9"/>
    <w:rsid w:val="219602FF"/>
    <w:rsid w:val="219A1570"/>
    <w:rsid w:val="219F597F"/>
    <w:rsid w:val="21AF0EED"/>
    <w:rsid w:val="21E23CAE"/>
    <w:rsid w:val="21F919F2"/>
    <w:rsid w:val="220A53A5"/>
    <w:rsid w:val="220D5A08"/>
    <w:rsid w:val="221E09E9"/>
    <w:rsid w:val="2220046A"/>
    <w:rsid w:val="222E3FBC"/>
    <w:rsid w:val="22343876"/>
    <w:rsid w:val="22525161"/>
    <w:rsid w:val="22574F3A"/>
    <w:rsid w:val="226D5BFF"/>
    <w:rsid w:val="227367BD"/>
    <w:rsid w:val="227A7A22"/>
    <w:rsid w:val="227C682E"/>
    <w:rsid w:val="227E095F"/>
    <w:rsid w:val="2282657C"/>
    <w:rsid w:val="229434CD"/>
    <w:rsid w:val="22A129F3"/>
    <w:rsid w:val="22A94376"/>
    <w:rsid w:val="22E813E0"/>
    <w:rsid w:val="22F879D3"/>
    <w:rsid w:val="22FB1635"/>
    <w:rsid w:val="230C6400"/>
    <w:rsid w:val="23190EE9"/>
    <w:rsid w:val="231A00C4"/>
    <w:rsid w:val="231C4810"/>
    <w:rsid w:val="23214BAB"/>
    <w:rsid w:val="2335262E"/>
    <w:rsid w:val="233C7C6D"/>
    <w:rsid w:val="234410D4"/>
    <w:rsid w:val="235A5670"/>
    <w:rsid w:val="236B587B"/>
    <w:rsid w:val="237960DC"/>
    <w:rsid w:val="23A15217"/>
    <w:rsid w:val="23A94F2F"/>
    <w:rsid w:val="23AD60D7"/>
    <w:rsid w:val="23BA4644"/>
    <w:rsid w:val="23C26CFC"/>
    <w:rsid w:val="23D67253"/>
    <w:rsid w:val="23DF2A88"/>
    <w:rsid w:val="23E16126"/>
    <w:rsid w:val="23E43A80"/>
    <w:rsid w:val="23E72A0E"/>
    <w:rsid w:val="23EA11DC"/>
    <w:rsid w:val="23F47757"/>
    <w:rsid w:val="24071708"/>
    <w:rsid w:val="24155192"/>
    <w:rsid w:val="241D0A20"/>
    <w:rsid w:val="24396EB4"/>
    <w:rsid w:val="243F4E8D"/>
    <w:rsid w:val="24454E5E"/>
    <w:rsid w:val="244B37E6"/>
    <w:rsid w:val="245743B5"/>
    <w:rsid w:val="24574D0A"/>
    <w:rsid w:val="245D5692"/>
    <w:rsid w:val="247221DF"/>
    <w:rsid w:val="247513E0"/>
    <w:rsid w:val="247E0331"/>
    <w:rsid w:val="2483439A"/>
    <w:rsid w:val="24974689"/>
    <w:rsid w:val="2498732E"/>
    <w:rsid w:val="249A087B"/>
    <w:rsid w:val="24A34DCB"/>
    <w:rsid w:val="24AD6222"/>
    <w:rsid w:val="24B55B83"/>
    <w:rsid w:val="24B80C2F"/>
    <w:rsid w:val="24CD4542"/>
    <w:rsid w:val="24E727FC"/>
    <w:rsid w:val="24E75ACF"/>
    <w:rsid w:val="24E8337B"/>
    <w:rsid w:val="24FD003C"/>
    <w:rsid w:val="25045FAB"/>
    <w:rsid w:val="250B5DF4"/>
    <w:rsid w:val="252C68FD"/>
    <w:rsid w:val="254B68E4"/>
    <w:rsid w:val="255320E9"/>
    <w:rsid w:val="25635BD0"/>
    <w:rsid w:val="25635C67"/>
    <w:rsid w:val="258B2DA3"/>
    <w:rsid w:val="25B81417"/>
    <w:rsid w:val="25BB704A"/>
    <w:rsid w:val="25DA5DA1"/>
    <w:rsid w:val="25EA4351"/>
    <w:rsid w:val="25F25738"/>
    <w:rsid w:val="25F53ED2"/>
    <w:rsid w:val="25FE407C"/>
    <w:rsid w:val="26082DC8"/>
    <w:rsid w:val="26351E1C"/>
    <w:rsid w:val="2638094F"/>
    <w:rsid w:val="263B16A7"/>
    <w:rsid w:val="263B466F"/>
    <w:rsid w:val="263E0EAC"/>
    <w:rsid w:val="264D72E2"/>
    <w:rsid w:val="265E7928"/>
    <w:rsid w:val="26894387"/>
    <w:rsid w:val="269C68CA"/>
    <w:rsid w:val="26CA5C7C"/>
    <w:rsid w:val="26D4632B"/>
    <w:rsid w:val="26DA2203"/>
    <w:rsid w:val="26EE059B"/>
    <w:rsid w:val="27077850"/>
    <w:rsid w:val="27107889"/>
    <w:rsid w:val="27143435"/>
    <w:rsid w:val="271D1EB4"/>
    <w:rsid w:val="271E24C5"/>
    <w:rsid w:val="27244E14"/>
    <w:rsid w:val="27311FCF"/>
    <w:rsid w:val="27333178"/>
    <w:rsid w:val="273836C6"/>
    <w:rsid w:val="27442A58"/>
    <w:rsid w:val="274C46E5"/>
    <w:rsid w:val="274F62AE"/>
    <w:rsid w:val="276D76B5"/>
    <w:rsid w:val="278503B1"/>
    <w:rsid w:val="2792012B"/>
    <w:rsid w:val="27AA1A6C"/>
    <w:rsid w:val="27BA01A4"/>
    <w:rsid w:val="27CD719E"/>
    <w:rsid w:val="27EA48A9"/>
    <w:rsid w:val="27F3564A"/>
    <w:rsid w:val="27F57B1F"/>
    <w:rsid w:val="27FA5B98"/>
    <w:rsid w:val="28053A60"/>
    <w:rsid w:val="28060846"/>
    <w:rsid w:val="281B49F3"/>
    <w:rsid w:val="28325B9C"/>
    <w:rsid w:val="28425FD1"/>
    <w:rsid w:val="28447392"/>
    <w:rsid w:val="28565E06"/>
    <w:rsid w:val="285F0F87"/>
    <w:rsid w:val="28840AAD"/>
    <w:rsid w:val="288A5769"/>
    <w:rsid w:val="288A6FD8"/>
    <w:rsid w:val="28954ED3"/>
    <w:rsid w:val="2898221E"/>
    <w:rsid w:val="2898425E"/>
    <w:rsid w:val="289D046E"/>
    <w:rsid w:val="28B52071"/>
    <w:rsid w:val="28BB5402"/>
    <w:rsid w:val="28C61782"/>
    <w:rsid w:val="28C71A51"/>
    <w:rsid w:val="28D33121"/>
    <w:rsid w:val="28D46F51"/>
    <w:rsid w:val="28ED0663"/>
    <w:rsid w:val="290657E0"/>
    <w:rsid w:val="290B5205"/>
    <w:rsid w:val="290C0E79"/>
    <w:rsid w:val="29315C5E"/>
    <w:rsid w:val="294825F1"/>
    <w:rsid w:val="294E3F38"/>
    <w:rsid w:val="29513222"/>
    <w:rsid w:val="295B1FDE"/>
    <w:rsid w:val="296E356B"/>
    <w:rsid w:val="29835B48"/>
    <w:rsid w:val="29852184"/>
    <w:rsid w:val="29937C67"/>
    <w:rsid w:val="299A6689"/>
    <w:rsid w:val="299B0824"/>
    <w:rsid w:val="29A95A63"/>
    <w:rsid w:val="29AB794C"/>
    <w:rsid w:val="29B05158"/>
    <w:rsid w:val="29B47BE2"/>
    <w:rsid w:val="29BB097E"/>
    <w:rsid w:val="29C26A1E"/>
    <w:rsid w:val="29C36304"/>
    <w:rsid w:val="29D8176B"/>
    <w:rsid w:val="29D81E95"/>
    <w:rsid w:val="29D823F9"/>
    <w:rsid w:val="29E30186"/>
    <w:rsid w:val="29F15A0B"/>
    <w:rsid w:val="29F2088E"/>
    <w:rsid w:val="29F5041C"/>
    <w:rsid w:val="29F63DDE"/>
    <w:rsid w:val="29F77955"/>
    <w:rsid w:val="29FE6EF3"/>
    <w:rsid w:val="2A1B6F47"/>
    <w:rsid w:val="2A1F592A"/>
    <w:rsid w:val="2A25350F"/>
    <w:rsid w:val="2A293B38"/>
    <w:rsid w:val="2A2C7B7A"/>
    <w:rsid w:val="2A3D494E"/>
    <w:rsid w:val="2A4625CE"/>
    <w:rsid w:val="2A487BBD"/>
    <w:rsid w:val="2A4952D5"/>
    <w:rsid w:val="2A5A3D32"/>
    <w:rsid w:val="2A7705EC"/>
    <w:rsid w:val="2A881B63"/>
    <w:rsid w:val="2A9C39C2"/>
    <w:rsid w:val="2AA06C98"/>
    <w:rsid w:val="2AA54CAD"/>
    <w:rsid w:val="2AAC7A6F"/>
    <w:rsid w:val="2AAF7102"/>
    <w:rsid w:val="2AB375E1"/>
    <w:rsid w:val="2ABB0892"/>
    <w:rsid w:val="2AC35EBD"/>
    <w:rsid w:val="2AD85E45"/>
    <w:rsid w:val="2ADA009F"/>
    <w:rsid w:val="2ADC23BB"/>
    <w:rsid w:val="2AEB310F"/>
    <w:rsid w:val="2AF826A2"/>
    <w:rsid w:val="2B0428DA"/>
    <w:rsid w:val="2B1161F7"/>
    <w:rsid w:val="2B382BF6"/>
    <w:rsid w:val="2B492FF2"/>
    <w:rsid w:val="2B591778"/>
    <w:rsid w:val="2B627A4B"/>
    <w:rsid w:val="2B6E6585"/>
    <w:rsid w:val="2B852E10"/>
    <w:rsid w:val="2B8D1E6A"/>
    <w:rsid w:val="2B9B76E0"/>
    <w:rsid w:val="2B9F0CDD"/>
    <w:rsid w:val="2BA6452F"/>
    <w:rsid w:val="2BAA42F0"/>
    <w:rsid w:val="2BAF63E4"/>
    <w:rsid w:val="2BB52FB9"/>
    <w:rsid w:val="2BB67503"/>
    <w:rsid w:val="2BB72CEF"/>
    <w:rsid w:val="2BBC29BA"/>
    <w:rsid w:val="2BBD19F0"/>
    <w:rsid w:val="2BBD31DA"/>
    <w:rsid w:val="2BC71A8A"/>
    <w:rsid w:val="2BC93AB1"/>
    <w:rsid w:val="2BE17CAE"/>
    <w:rsid w:val="2BE613B7"/>
    <w:rsid w:val="2BFC4A3B"/>
    <w:rsid w:val="2C090811"/>
    <w:rsid w:val="2C147232"/>
    <w:rsid w:val="2C157FC6"/>
    <w:rsid w:val="2C1A5246"/>
    <w:rsid w:val="2C4F32E9"/>
    <w:rsid w:val="2C5927E3"/>
    <w:rsid w:val="2C693C27"/>
    <w:rsid w:val="2C8A49A9"/>
    <w:rsid w:val="2C8E0B5F"/>
    <w:rsid w:val="2C963FFD"/>
    <w:rsid w:val="2C9D5806"/>
    <w:rsid w:val="2CA0279D"/>
    <w:rsid w:val="2CAC7E5C"/>
    <w:rsid w:val="2CAD56AA"/>
    <w:rsid w:val="2CC841ED"/>
    <w:rsid w:val="2CDA6659"/>
    <w:rsid w:val="2CDE5A7A"/>
    <w:rsid w:val="2CE6306C"/>
    <w:rsid w:val="2CE85339"/>
    <w:rsid w:val="2CE90300"/>
    <w:rsid w:val="2CE940F8"/>
    <w:rsid w:val="2CF078D2"/>
    <w:rsid w:val="2CF50E27"/>
    <w:rsid w:val="2CF916FA"/>
    <w:rsid w:val="2CF95115"/>
    <w:rsid w:val="2D093C9F"/>
    <w:rsid w:val="2D194E09"/>
    <w:rsid w:val="2D1B1B33"/>
    <w:rsid w:val="2D36631D"/>
    <w:rsid w:val="2D3B7916"/>
    <w:rsid w:val="2D3C3CD7"/>
    <w:rsid w:val="2D44378B"/>
    <w:rsid w:val="2D521103"/>
    <w:rsid w:val="2D6B73B9"/>
    <w:rsid w:val="2D702717"/>
    <w:rsid w:val="2D7C1C2C"/>
    <w:rsid w:val="2D7D6008"/>
    <w:rsid w:val="2D9F652B"/>
    <w:rsid w:val="2DAE5F4F"/>
    <w:rsid w:val="2DB10B97"/>
    <w:rsid w:val="2DB600C3"/>
    <w:rsid w:val="2DE41B2D"/>
    <w:rsid w:val="2DEB07BF"/>
    <w:rsid w:val="2DEF1C57"/>
    <w:rsid w:val="2DF3685B"/>
    <w:rsid w:val="2E0715D6"/>
    <w:rsid w:val="2E0E6B8B"/>
    <w:rsid w:val="2E107139"/>
    <w:rsid w:val="2E173F56"/>
    <w:rsid w:val="2E2B0619"/>
    <w:rsid w:val="2E36004C"/>
    <w:rsid w:val="2E48670E"/>
    <w:rsid w:val="2E544356"/>
    <w:rsid w:val="2EAB0138"/>
    <w:rsid w:val="2EB3381F"/>
    <w:rsid w:val="2EB704E2"/>
    <w:rsid w:val="2EB95D28"/>
    <w:rsid w:val="2EC251F7"/>
    <w:rsid w:val="2ECF3457"/>
    <w:rsid w:val="2EEE2B73"/>
    <w:rsid w:val="2EEF5957"/>
    <w:rsid w:val="2F1F4948"/>
    <w:rsid w:val="2F341996"/>
    <w:rsid w:val="2F444F46"/>
    <w:rsid w:val="2F465A94"/>
    <w:rsid w:val="2F4C7F9B"/>
    <w:rsid w:val="2F5B1FAA"/>
    <w:rsid w:val="2F6854F5"/>
    <w:rsid w:val="2F755479"/>
    <w:rsid w:val="2F801376"/>
    <w:rsid w:val="2F820C35"/>
    <w:rsid w:val="2F8C712D"/>
    <w:rsid w:val="2F97792C"/>
    <w:rsid w:val="2FA97745"/>
    <w:rsid w:val="2FB57A84"/>
    <w:rsid w:val="2FBF244E"/>
    <w:rsid w:val="2FFB5947"/>
    <w:rsid w:val="2FFD085E"/>
    <w:rsid w:val="300563D4"/>
    <w:rsid w:val="302D48F6"/>
    <w:rsid w:val="30327014"/>
    <w:rsid w:val="30362531"/>
    <w:rsid w:val="304713D5"/>
    <w:rsid w:val="30566E0B"/>
    <w:rsid w:val="306A3AD5"/>
    <w:rsid w:val="306C4308"/>
    <w:rsid w:val="307160DC"/>
    <w:rsid w:val="30896C46"/>
    <w:rsid w:val="309F7FF5"/>
    <w:rsid w:val="30AB7162"/>
    <w:rsid w:val="30B06CF0"/>
    <w:rsid w:val="30BE6DA5"/>
    <w:rsid w:val="30CD3D4D"/>
    <w:rsid w:val="30D51F7C"/>
    <w:rsid w:val="30EC4B0C"/>
    <w:rsid w:val="30ED594E"/>
    <w:rsid w:val="31135D91"/>
    <w:rsid w:val="311D6372"/>
    <w:rsid w:val="31240EC0"/>
    <w:rsid w:val="3124686A"/>
    <w:rsid w:val="31272634"/>
    <w:rsid w:val="312837D8"/>
    <w:rsid w:val="312C4EA8"/>
    <w:rsid w:val="31430F50"/>
    <w:rsid w:val="315B3DDF"/>
    <w:rsid w:val="315D5BA6"/>
    <w:rsid w:val="31640971"/>
    <w:rsid w:val="316D2289"/>
    <w:rsid w:val="31736E47"/>
    <w:rsid w:val="317C2DC5"/>
    <w:rsid w:val="317D615F"/>
    <w:rsid w:val="318626AC"/>
    <w:rsid w:val="318B4135"/>
    <w:rsid w:val="31A86376"/>
    <w:rsid w:val="31B94328"/>
    <w:rsid w:val="31BC7800"/>
    <w:rsid w:val="31BC7DC9"/>
    <w:rsid w:val="31CA37A5"/>
    <w:rsid w:val="31CE7F2B"/>
    <w:rsid w:val="31F435B2"/>
    <w:rsid w:val="31F67E60"/>
    <w:rsid w:val="3200079B"/>
    <w:rsid w:val="32036F23"/>
    <w:rsid w:val="32045B96"/>
    <w:rsid w:val="32080A3B"/>
    <w:rsid w:val="321108F5"/>
    <w:rsid w:val="321403D9"/>
    <w:rsid w:val="32150E36"/>
    <w:rsid w:val="321750F5"/>
    <w:rsid w:val="321947EA"/>
    <w:rsid w:val="32200D25"/>
    <w:rsid w:val="32275A10"/>
    <w:rsid w:val="322F3434"/>
    <w:rsid w:val="323D35EB"/>
    <w:rsid w:val="32457AA3"/>
    <w:rsid w:val="325720DD"/>
    <w:rsid w:val="32585128"/>
    <w:rsid w:val="325E4367"/>
    <w:rsid w:val="32774164"/>
    <w:rsid w:val="32851DD7"/>
    <w:rsid w:val="328A68CA"/>
    <w:rsid w:val="32A2037B"/>
    <w:rsid w:val="32AE6047"/>
    <w:rsid w:val="32C918AE"/>
    <w:rsid w:val="32D77595"/>
    <w:rsid w:val="32D83018"/>
    <w:rsid w:val="32D9275F"/>
    <w:rsid w:val="32E83E6C"/>
    <w:rsid w:val="32EA169A"/>
    <w:rsid w:val="32F90691"/>
    <w:rsid w:val="330356B4"/>
    <w:rsid w:val="331550C0"/>
    <w:rsid w:val="331F080B"/>
    <w:rsid w:val="33351BBB"/>
    <w:rsid w:val="333C2D17"/>
    <w:rsid w:val="336016E7"/>
    <w:rsid w:val="33774D25"/>
    <w:rsid w:val="337E3446"/>
    <w:rsid w:val="33841A7F"/>
    <w:rsid w:val="33935774"/>
    <w:rsid w:val="33965837"/>
    <w:rsid w:val="339B26BE"/>
    <w:rsid w:val="33A25815"/>
    <w:rsid w:val="33AA50E6"/>
    <w:rsid w:val="33B26476"/>
    <w:rsid w:val="33B43DDB"/>
    <w:rsid w:val="33B9376A"/>
    <w:rsid w:val="33BC6F30"/>
    <w:rsid w:val="33C87001"/>
    <w:rsid w:val="34022462"/>
    <w:rsid w:val="34061E11"/>
    <w:rsid w:val="3408043B"/>
    <w:rsid w:val="340E486B"/>
    <w:rsid w:val="341205C9"/>
    <w:rsid w:val="34162354"/>
    <w:rsid w:val="3421519F"/>
    <w:rsid w:val="34283D61"/>
    <w:rsid w:val="343D6997"/>
    <w:rsid w:val="34424CA2"/>
    <w:rsid w:val="34561EE4"/>
    <w:rsid w:val="34724C18"/>
    <w:rsid w:val="3479036A"/>
    <w:rsid w:val="348C273F"/>
    <w:rsid w:val="34921207"/>
    <w:rsid w:val="34942631"/>
    <w:rsid w:val="34995AD7"/>
    <w:rsid w:val="349B5F69"/>
    <w:rsid w:val="34AC7092"/>
    <w:rsid w:val="34C31F31"/>
    <w:rsid w:val="34E010CD"/>
    <w:rsid w:val="34E32054"/>
    <w:rsid w:val="34FF1701"/>
    <w:rsid w:val="350463FE"/>
    <w:rsid w:val="35085B2F"/>
    <w:rsid w:val="35095524"/>
    <w:rsid w:val="35126AD2"/>
    <w:rsid w:val="351D66CE"/>
    <w:rsid w:val="3522430E"/>
    <w:rsid w:val="352E0F08"/>
    <w:rsid w:val="3543497F"/>
    <w:rsid w:val="35460DED"/>
    <w:rsid w:val="35500F46"/>
    <w:rsid w:val="35811005"/>
    <w:rsid w:val="35846BA5"/>
    <w:rsid w:val="35C85942"/>
    <w:rsid w:val="35F72C7E"/>
    <w:rsid w:val="35FF1ADE"/>
    <w:rsid w:val="360258DD"/>
    <w:rsid w:val="361E456B"/>
    <w:rsid w:val="362D5ECB"/>
    <w:rsid w:val="362D6A7C"/>
    <w:rsid w:val="364044BF"/>
    <w:rsid w:val="364532AC"/>
    <w:rsid w:val="364F5E14"/>
    <w:rsid w:val="365C1F4B"/>
    <w:rsid w:val="366339B0"/>
    <w:rsid w:val="366B0825"/>
    <w:rsid w:val="36747368"/>
    <w:rsid w:val="36814585"/>
    <w:rsid w:val="369B0246"/>
    <w:rsid w:val="369F1362"/>
    <w:rsid w:val="36A3261C"/>
    <w:rsid w:val="36A336B2"/>
    <w:rsid w:val="36A8569B"/>
    <w:rsid w:val="36AC5EE8"/>
    <w:rsid w:val="36AF2969"/>
    <w:rsid w:val="36AF6E3D"/>
    <w:rsid w:val="36C34C50"/>
    <w:rsid w:val="36C7614B"/>
    <w:rsid w:val="36D53214"/>
    <w:rsid w:val="36E20CB8"/>
    <w:rsid w:val="36E33A36"/>
    <w:rsid w:val="36F24014"/>
    <w:rsid w:val="36FE21FA"/>
    <w:rsid w:val="37030692"/>
    <w:rsid w:val="37064D4E"/>
    <w:rsid w:val="37074DCB"/>
    <w:rsid w:val="3718306A"/>
    <w:rsid w:val="371871B4"/>
    <w:rsid w:val="3731641A"/>
    <w:rsid w:val="37802F68"/>
    <w:rsid w:val="37873019"/>
    <w:rsid w:val="378D40E6"/>
    <w:rsid w:val="37AA02B0"/>
    <w:rsid w:val="37AA24DC"/>
    <w:rsid w:val="37B542B8"/>
    <w:rsid w:val="37B57AE4"/>
    <w:rsid w:val="37B77F1A"/>
    <w:rsid w:val="37BB068B"/>
    <w:rsid w:val="37CB24BC"/>
    <w:rsid w:val="37D022B1"/>
    <w:rsid w:val="37D26760"/>
    <w:rsid w:val="37D40410"/>
    <w:rsid w:val="37DB3FBB"/>
    <w:rsid w:val="37EC0274"/>
    <w:rsid w:val="37F045A8"/>
    <w:rsid w:val="37FF30EC"/>
    <w:rsid w:val="38001947"/>
    <w:rsid w:val="38087FFF"/>
    <w:rsid w:val="381211F0"/>
    <w:rsid w:val="38383B6E"/>
    <w:rsid w:val="38695702"/>
    <w:rsid w:val="387A298B"/>
    <w:rsid w:val="38817B7A"/>
    <w:rsid w:val="38CF44FA"/>
    <w:rsid w:val="390F4628"/>
    <w:rsid w:val="393121CA"/>
    <w:rsid w:val="39315B32"/>
    <w:rsid w:val="39350038"/>
    <w:rsid w:val="39356AE9"/>
    <w:rsid w:val="39422268"/>
    <w:rsid w:val="39485C92"/>
    <w:rsid w:val="39495BEC"/>
    <w:rsid w:val="395B4D61"/>
    <w:rsid w:val="396E5092"/>
    <w:rsid w:val="397E468A"/>
    <w:rsid w:val="398C4A8B"/>
    <w:rsid w:val="3994486D"/>
    <w:rsid w:val="399C1A58"/>
    <w:rsid w:val="39A56022"/>
    <w:rsid w:val="39AB4A8F"/>
    <w:rsid w:val="39AE07ED"/>
    <w:rsid w:val="39BC0F00"/>
    <w:rsid w:val="39C946AB"/>
    <w:rsid w:val="39CA1F53"/>
    <w:rsid w:val="39E91EA6"/>
    <w:rsid w:val="39EA01C2"/>
    <w:rsid w:val="39EB506C"/>
    <w:rsid w:val="3A06576D"/>
    <w:rsid w:val="3A2071EB"/>
    <w:rsid w:val="3A2C4652"/>
    <w:rsid w:val="3A39104D"/>
    <w:rsid w:val="3A482321"/>
    <w:rsid w:val="3A5C2991"/>
    <w:rsid w:val="3A704B01"/>
    <w:rsid w:val="3A725B0C"/>
    <w:rsid w:val="3A9E48B4"/>
    <w:rsid w:val="3AA66471"/>
    <w:rsid w:val="3AAF7366"/>
    <w:rsid w:val="3AB14A2D"/>
    <w:rsid w:val="3AB44427"/>
    <w:rsid w:val="3AE61B59"/>
    <w:rsid w:val="3AEA276D"/>
    <w:rsid w:val="3AED3305"/>
    <w:rsid w:val="3AF3113F"/>
    <w:rsid w:val="3AF32480"/>
    <w:rsid w:val="3B020FAC"/>
    <w:rsid w:val="3B033DD6"/>
    <w:rsid w:val="3B085156"/>
    <w:rsid w:val="3B0E01BA"/>
    <w:rsid w:val="3B1555EE"/>
    <w:rsid w:val="3B2461CC"/>
    <w:rsid w:val="3B2F2682"/>
    <w:rsid w:val="3B3165C4"/>
    <w:rsid w:val="3B371541"/>
    <w:rsid w:val="3B5573A4"/>
    <w:rsid w:val="3B611AF3"/>
    <w:rsid w:val="3B636DA9"/>
    <w:rsid w:val="3B6B0E42"/>
    <w:rsid w:val="3B8C755E"/>
    <w:rsid w:val="3BA82EDA"/>
    <w:rsid w:val="3BB6562B"/>
    <w:rsid w:val="3BBB5486"/>
    <w:rsid w:val="3BE15BDA"/>
    <w:rsid w:val="3BE3122A"/>
    <w:rsid w:val="3BEF6DAC"/>
    <w:rsid w:val="3BF544A7"/>
    <w:rsid w:val="3C0401D8"/>
    <w:rsid w:val="3C124C08"/>
    <w:rsid w:val="3C16327F"/>
    <w:rsid w:val="3C1B340D"/>
    <w:rsid w:val="3C1F2DBD"/>
    <w:rsid w:val="3C256FCE"/>
    <w:rsid w:val="3C42673F"/>
    <w:rsid w:val="3C4A3881"/>
    <w:rsid w:val="3C5426DB"/>
    <w:rsid w:val="3C547B72"/>
    <w:rsid w:val="3C610568"/>
    <w:rsid w:val="3C621554"/>
    <w:rsid w:val="3C7A71B4"/>
    <w:rsid w:val="3C7C1309"/>
    <w:rsid w:val="3C8504BA"/>
    <w:rsid w:val="3C8B2C9C"/>
    <w:rsid w:val="3C954C4A"/>
    <w:rsid w:val="3C983BA7"/>
    <w:rsid w:val="3CA63B84"/>
    <w:rsid w:val="3CB03733"/>
    <w:rsid w:val="3CC74820"/>
    <w:rsid w:val="3CDB1DBB"/>
    <w:rsid w:val="3CEE33AC"/>
    <w:rsid w:val="3D0C0B36"/>
    <w:rsid w:val="3D181F89"/>
    <w:rsid w:val="3D417D46"/>
    <w:rsid w:val="3D4C6CB4"/>
    <w:rsid w:val="3D5D4B6F"/>
    <w:rsid w:val="3D8F09F2"/>
    <w:rsid w:val="3D993C58"/>
    <w:rsid w:val="3DB65C42"/>
    <w:rsid w:val="3DC13DCB"/>
    <w:rsid w:val="3DC34729"/>
    <w:rsid w:val="3DE4699F"/>
    <w:rsid w:val="3DE9747B"/>
    <w:rsid w:val="3E015415"/>
    <w:rsid w:val="3E4C0818"/>
    <w:rsid w:val="3E6D632B"/>
    <w:rsid w:val="3E732338"/>
    <w:rsid w:val="3E866A0E"/>
    <w:rsid w:val="3E971EC1"/>
    <w:rsid w:val="3E985942"/>
    <w:rsid w:val="3EB337CD"/>
    <w:rsid w:val="3EC46393"/>
    <w:rsid w:val="3ECE2BEE"/>
    <w:rsid w:val="3ED32635"/>
    <w:rsid w:val="3EDE3A69"/>
    <w:rsid w:val="3F0C4FD3"/>
    <w:rsid w:val="3F102B97"/>
    <w:rsid w:val="3F1A70E9"/>
    <w:rsid w:val="3F277F30"/>
    <w:rsid w:val="3F2B0DAF"/>
    <w:rsid w:val="3F6459E6"/>
    <w:rsid w:val="3F856411"/>
    <w:rsid w:val="3F856C8C"/>
    <w:rsid w:val="3F876778"/>
    <w:rsid w:val="3F8D7CD7"/>
    <w:rsid w:val="3F9179B1"/>
    <w:rsid w:val="3F995DEB"/>
    <w:rsid w:val="3FA77761"/>
    <w:rsid w:val="3FC86433"/>
    <w:rsid w:val="3FC979A8"/>
    <w:rsid w:val="3FCA54FF"/>
    <w:rsid w:val="3FFB1D71"/>
    <w:rsid w:val="40053AEF"/>
    <w:rsid w:val="400657B5"/>
    <w:rsid w:val="4012006B"/>
    <w:rsid w:val="402540F9"/>
    <w:rsid w:val="402636CA"/>
    <w:rsid w:val="40330DCE"/>
    <w:rsid w:val="4042587D"/>
    <w:rsid w:val="40474563"/>
    <w:rsid w:val="404A5AC0"/>
    <w:rsid w:val="405100AF"/>
    <w:rsid w:val="40553E07"/>
    <w:rsid w:val="406F7959"/>
    <w:rsid w:val="407A7AA6"/>
    <w:rsid w:val="407E712F"/>
    <w:rsid w:val="40802868"/>
    <w:rsid w:val="40834B14"/>
    <w:rsid w:val="408653B6"/>
    <w:rsid w:val="409E54EE"/>
    <w:rsid w:val="40AF58FB"/>
    <w:rsid w:val="40B1111B"/>
    <w:rsid w:val="40B62C5E"/>
    <w:rsid w:val="40BD4B46"/>
    <w:rsid w:val="40C006C3"/>
    <w:rsid w:val="40C45E69"/>
    <w:rsid w:val="40C9614A"/>
    <w:rsid w:val="40DF1F6C"/>
    <w:rsid w:val="40EE6624"/>
    <w:rsid w:val="40FC75EC"/>
    <w:rsid w:val="41002130"/>
    <w:rsid w:val="41044B8C"/>
    <w:rsid w:val="41176346"/>
    <w:rsid w:val="411A7377"/>
    <w:rsid w:val="411B44F7"/>
    <w:rsid w:val="41303D3A"/>
    <w:rsid w:val="41314544"/>
    <w:rsid w:val="41421392"/>
    <w:rsid w:val="414B0D5D"/>
    <w:rsid w:val="415B4C34"/>
    <w:rsid w:val="416F5D56"/>
    <w:rsid w:val="417F4D9D"/>
    <w:rsid w:val="41835BAC"/>
    <w:rsid w:val="419068A2"/>
    <w:rsid w:val="4192041B"/>
    <w:rsid w:val="41A50E7A"/>
    <w:rsid w:val="41B52F34"/>
    <w:rsid w:val="41BB69E9"/>
    <w:rsid w:val="41BD079D"/>
    <w:rsid w:val="41C67651"/>
    <w:rsid w:val="41E92C8C"/>
    <w:rsid w:val="41EF4F88"/>
    <w:rsid w:val="41F26FD5"/>
    <w:rsid w:val="41F71C6B"/>
    <w:rsid w:val="420A76DA"/>
    <w:rsid w:val="420B1548"/>
    <w:rsid w:val="42185649"/>
    <w:rsid w:val="42207B94"/>
    <w:rsid w:val="42275EB8"/>
    <w:rsid w:val="422A2151"/>
    <w:rsid w:val="42457D1E"/>
    <w:rsid w:val="42462937"/>
    <w:rsid w:val="424E280C"/>
    <w:rsid w:val="4255521D"/>
    <w:rsid w:val="426050D3"/>
    <w:rsid w:val="426A5969"/>
    <w:rsid w:val="42805035"/>
    <w:rsid w:val="4281684C"/>
    <w:rsid w:val="42BD0693"/>
    <w:rsid w:val="42C366DD"/>
    <w:rsid w:val="42C636FD"/>
    <w:rsid w:val="42CD094D"/>
    <w:rsid w:val="42EC1E16"/>
    <w:rsid w:val="430360CA"/>
    <w:rsid w:val="430A5FBC"/>
    <w:rsid w:val="432A20BA"/>
    <w:rsid w:val="432D321B"/>
    <w:rsid w:val="43480639"/>
    <w:rsid w:val="43483BDC"/>
    <w:rsid w:val="43521B4E"/>
    <w:rsid w:val="4357473E"/>
    <w:rsid w:val="43697E6C"/>
    <w:rsid w:val="436B1C33"/>
    <w:rsid w:val="43734926"/>
    <w:rsid w:val="438E371E"/>
    <w:rsid w:val="43930034"/>
    <w:rsid w:val="43A632D7"/>
    <w:rsid w:val="43AE32C9"/>
    <w:rsid w:val="43BA6D47"/>
    <w:rsid w:val="43C90329"/>
    <w:rsid w:val="43DF11BC"/>
    <w:rsid w:val="43E0440A"/>
    <w:rsid w:val="43E64688"/>
    <w:rsid w:val="43ED13E7"/>
    <w:rsid w:val="43ED353C"/>
    <w:rsid w:val="43F15ABD"/>
    <w:rsid w:val="440E55C9"/>
    <w:rsid w:val="44165523"/>
    <w:rsid w:val="4417132F"/>
    <w:rsid w:val="441E0505"/>
    <w:rsid w:val="443625FC"/>
    <w:rsid w:val="44405482"/>
    <w:rsid w:val="44484A20"/>
    <w:rsid w:val="446028B5"/>
    <w:rsid w:val="44607FEA"/>
    <w:rsid w:val="44756C49"/>
    <w:rsid w:val="4496142D"/>
    <w:rsid w:val="449A4F29"/>
    <w:rsid w:val="44A22D2C"/>
    <w:rsid w:val="44AF3DF2"/>
    <w:rsid w:val="44C21817"/>
    <w:rsid w:val="44D055C9"/>
    <w:rsid w:val="44E809D4"/>
    <w:rsid w:val="44FE0C44"/>
    <w:rsid w:val="45170F87"/>
    <w:rsid w:val="45181DDC"/>
    <w:rsid w:val="45184EDC"/>
    <w:rsid w:val="45310318"/>
    <w:rsid w:val="453463E4"/>
    <w:rsid w:val="45376402"/>
    <w:rsid w:val="45504879"/>
    <w:rsid w:val="45513099"/>
    <w:rsid w:val="455924E1"/>
    <w:rsid w:val="45634F37"/>
    <w:rsid w:val="457A3A7C"/>
    <w:rsid w:val="45915F0A"/>
    <w:rsid w:val="45986B95"/>
    <w:rsid w:val="45A048B5"/>
    <w:rsid w:val="45B50800"/>
    <w:rsid w:val="45B60922"/>
    <w:rsid w:val="45BC58FE"/>
    <w:rsid w:val="45D47576"/>
    <w:rsid w:val="45DF3C7E"/>
    <w:rsid w:val="45E57794"/>
    <w:rsid w:val="45E64566"/>
    <w:rsid w:val="4612312B"/>
    <w:rsid w:val="461C7C80"/>
    <w:rsid w:val="463A23EA"/>
    <w:rsid w:val="464E1B9E"/>
    <w:rsid w:val="46661936"/>
    <w:rsid w:val="4675051F"/>
    <w:rsid w:val="46811441"/>
    <w:rsid w:val="46826EF7"/>
    <w:rsid w:val="46A751BD"/>
    <w:rsid w:val="46A84D67"/>
    <w:rsid w:val="46AB17DB"/>
    <w:rsid w:val="46B47D6A"/>
    <w:rsid w:val="46BC2EF7"/>
    <w:rsid w:val="46C93F9D"/>
    <w:rsid w:val="46D4754E"/>
    <w:rsid w:val="46DD7CBE"/>
    <w:rsid w:val="46E52D55"/>
    <w:rsid w:val="46E53660"/>
    <w:rsid w:val="46EA1A76"/>
    <w:rsid w:val="46F065E7"/>
    <w:rsid w:val="46F71324"/>
    <w:rsid w:val="470A789B"/>
    <w:rsid w:val="472103EB"/>
    <w:rsid w:val="47225878"/>
    <w:rsid w:val="47265279"/>
    <w:rsid w:val="4728075D"/>
    <w:rsid w:val="472D38C3"/>
    <w:rsid w:val="472D68AA"/>
    <w:rsid w:val="47311A71"/>
    <w:rsid w:val="473D0F93"/>
    <w:rsid w:val="476139E2"/>
    <w:rsid w:val="47652369"/>
    <w:rsid w:val="47652B4A"/>
    <w:rsid w:val="47685B90"/>
    <w:rsid w:val="47702360"/>
    <w:rsid w:val="477222F6"/>
    <w:rsid w:val="47A709C3"/>
    <w:rsid w:val="47A930C0"/>
    <w:rsid w:val="47BF2FE6"/>
    <w:rsid w:val="47DA45F5"/>
    <w:rsid w:val="47E476BE"/>
    <w:rsid w:val="47F40342"/>
    <w:rsid w:val="47F80F2F"/>
    <w:rsid w:val="47FA19A7"/>
    <w:rsid w:val="48085B96"/>
    <w:rsid w:val="481C52E8"/>
    <w:rsid w:val="481E1711"/>
    <w:rsid w:val="48231AA4"/>
    <w:rsid w:val="48232940"/>
    <w:rsid w:val="48363D2A"/>
    <w:rsid w:val="484E449F"/>
    <w:rsid w:val="485419E8"/>
    <w:rsid w:val="48547FF8"/>
    <w:rsid w:val="485C6C0D"/>
    <w:rsid w:val="48774CA0"/>
    <w:rsid w:val="487868EC"/>
    <w:rsid w:val="488031ED"/>
    <w:rsid w:val="488F06A6"/>
    <w:rsid w:val="48980E2F"/>
    <w:rsid w:val="48A56AA0"/>
    <w:rsid w:val="48A70052"/>
    <w:rsid w:val="48B07294"/>
    <w:rsid w:val="48B56F97"/>
    <w:rsid w:val="48BA7453"/>
    <w:rsid w:val="48BE367D"/>
    <w:rsid w:val="48CA6291"/>
    <w:rsid w:val="48D50501"/>
    <w:rsid w:val="48D60611"/>
    <w:rsid w:val="48EA58A9"/>
    <w:rsid w:val="48F77589"/>
    <w:rsid w:val="48FE334B"/>
    <w:rsid w:val="491F29DD"/>
    <w:rsid w:val="492249D4"/>
    <w:rsid w:val="492941E4"/>
    <w:rsid w:val="49307800"/>
    <w:rsid w:val="49510AD6"/>
    <w:rsid w:val="495B4EAD"/>
    <w:rsid w:val="49661B03"/>
    <w:rsid w:val="496D26A7"/>
    <w:rsid w:val="497D4FD1"/>
    <w:rsid w:val="49AD07BA"/>
    <w:rsid w:val="49B20276"/>
    <w:rsid w:val="49CE0433"/>
    <w:rsid w:val="49F340BD"/>
    <w:rsid w:val="4A0B1B0D"/>
    <w:rsid w:val="4A11479C"/>
    <w:rsid w:val="4A2151A5"/>
    <w:rsid w:val="4A2328EA"/>
    <w:rsid w:val="4A2473CA"/>
    <w:rsid w:val="4A276C67"/>
    <w:rsid w:val="4A316D4E"/>
    <w:rsid w:val="4A463EFE"/>
    <w:rsid w:val="4A544005"/>
    <w:rsid w:val="4A66485A"/>
    <w:rsid w:val="4A664BC3"/>
    <w:rsid w:val="4A787F9A"/>
    <w:rsid w:val="4A7A5611"/>
    <w:rsid w:val="4A81337A"/>
    <w:rsid w:val="4A9C6D87"/>
    <w:rsid w:val="4AAE4AF0"/>
    <w:rsid w:val="4AB04F56"/>
    <w:rsid w:val="4AC27CCF"/>
    <w:rsid w:val="4AC45213"/>
    <w:rsid w:val="4ACD385D"/>
    <w:rsid w:val="4AD87C0B"/>
    <w:rsid w:val="4ADD6C8E"/>
    <w:rsid w:val="4AEB5E88"/>
    <w:rsid w:val="4AF66A61"/>
    <w:rsid w:val="4AF872A6"/>
    <w:rsid w:val="4AF96F0F"/>
    <w:rsid w:val="4AFA6569"/>
    <w:rsid w:val="4B0D75A1"/>
    <w:rsid w:val="4B0E4872"/>
    <w:rsid w:val="4B1552CA"/>
    <w:rsid w:val="4B473C06"/>
    <w:rsid w:val="4B573495"/>
    <w:rsid w:val="4B5A3F42"/>
    <w:rsid w:val="4B6657BF"/>
    <w:rsid w:val="4B695D86"/>
    <w:rsid w:val="4B7E44E8"/>
    <w:rsid w:val="4B801B9C"/>
    <w:rsid w:val="4B814887"/>
    <w:rsid w:val="4B892A61"/>
    <w:rsid w:val="4B893820"/>
    <w:rsid w:val="4B8F1AD2"/>
    <w:rsid w:val="4B9D24D6"/>
    <w:rsid w:val="4BA21F8A"/>
    <w:rsid w:val="4BA769DF"/>
    <w:rsid w:val="4BB578B7"/>
    <w:rsid w:val="4BBC48B1"/>
    <w:rsid w:val="4BC7085F"/>
    <w:rsid w:val="4BCF1B3C"/>
    <w:rsid w:val="4BD923A6"/>
    <w:rsid w:val="4BDC085E"/>
    <w:rsid w:val="4BEB2A9D"/>
    <w:rsid w:val="4BEF6706"/>
    <w:rsid w:val="4BF277C0"/>
    <w:rsid w:val="4BF91049"/>
    <w:rsid w:val="4C083DEF"/>
    <w:rsid w:val="4C172FB8"/>
    <w:rsid w:val="4C1D24E0"/>
    <w:rsid w:val="4C233CD3"/>
    <w:rsid w:val="4C240A84"/>
    <w:rsid w:val="4C274971"/>
    <w:rsid w:val="4C324360"/>
    <w:rsid w:val="4C3A5AD2"/>
    <w:rsid w:val="4C41641D"/>
    <w:rsid w:val="4C5807F1"/>
    <w:rsid w:val="4C6E46EE"/>
    <w:rsid w:val="4C6F1F69"/>
    <w:rsid w:val="4C7C5DB6"/>
    <w:rsid w:val="4C8A0AB5"/>
    <w:rsid w:val="4C8F7FB0"/>
    <w:rsid w:val="4CA31D2A"/>
    <w:rsid w:val="4CB446B5"/>
    <w:rsid w:val="4CBF31F4"/>
    <w:rsid w:val="4CC30756"/>
    <w:rsid w:val="4CCA5752"/>
    <w:rsid w:val="4CCB4264"/>
    <w:rsid w:val="4CD2257B"/>
    <w:rsid w:val="4CD4605E"/>
    <w:rsid w:val="4CE70D13"/>
    <w:rsid w:val="4CF4490D"/>
    <w:rsid w:val="4CF811C5"/>
    <w:rsid w:val="4CFC1CFF"/>
    <w:rsid w:val="4D131BC8"/>
    <w:rsid w:val="4D16705A"/>
    <w:rsid w:val="4D306077"/>
    <w:rsid w:val="4D361EF6"/>
    <w:rsid w:val="4D5D4094"/>
    <w:rsid w:val="4D6A6093"/>
    <w:rsid w:val="4D6F1420"/>
    <w:rsid w:val="4D736FC5"/>
    <w:rsid w:val="4D7B6919"/>
    <w:rsid w:val="4D9634FD"/>
    <w:rsid w:val="4DBC6847"/>
    <w:rsid w:val="4DCC1460"/>
    <w:rsid w:val="4DCF7A1D"/>
    <w:rsid w:val="4DE80406"/>
    <w:rsid w:val="4DEE6133"/>
    <w:rsid w:val="4DF7667D"/>
    <w:rsid w:val="4E086AD7"/>
    <w:rsid w:val="4E1776B6"/>
    <w:rsid w:val="4E1A52E9"/>
    <w:rsid w:val="4E1A71B3"/>
    <w:rsid w:val="4E245182"/>
    <w:rsid w:val="4E2A5217"/>
    <w:rsid w:val="4E3E36DF"/>
    <w:rsid w:val="4E420382"/>
    <w:rsid w:val="4E44543A"/>
    <w:rsid w:val="4E4553E9"/>
    <w:rsid w:val="4E673A9C"/>
    <w:rsid w:val="4E6930B7"/>
    <w:rsid w:val="4E740999"/>
    <w:rsid w:val="4E7B36E9"/>
    <w:rsid w:val="4E9F7713"/>
    <w:rsid w:val="4EAC5886"/>
    <w:rsid w:val="4EAD06A8"/>
    <w:rsid w:val="4ECB786C"/>
    <w:rsid w:val="4ED15626"/>
    <w:rsid w:val="4ED4056B"/>
    <w:rsid w:val="4ED84CB2"/>
    <w:rsid w:val="4EE03801"/>
    <w:rsid w:val="4EF360AD"/>
    <w:rsid w:val="4F0B72FE"/>
    <w:rsid w:val="4F16775B"/>
    <w:rsid w:val="4F186B3F"/>
    <w:rsid w:val="4F1D371F"/>
    <w:rsid w:val="4F2178B4"/>
    <w:rsid w:val="4F22406F"/>
    <w:rsid w:val="4F2D6E33"/>
    <w:rsid w:val="4F572D9B"/>
    <w:rsid w:val="4F5A2E6B"/>
    <w:rsid w:val="4F5D538F"/>
    <w:rsid w:val="4F652C1E"/>
    <w:rsid w:val="4F855F30"/>
    <w:rsid w:val="4F891F33"/>
    <w:rsid w:val="4F8D46D4"/>
    <w:rsid w:val="4F9F3A57"/>
    <w:rsid w:val="4FA84C16"/>
    <w:rsid w:val="4FC37299"/>
    <w:rsid w:val="4FC37AD4"/>
    <w:rsid w:val="4FC50C6E"/>
    <w:rsid w:val="4FD419FA"/>
    <w:rsid w:val="4FE505EE"/>
    <w:rsid w:val="4FE972F4"/>
    <w:rsid w:val="4FEE5654"/>
    <w:rsid w:val="4FF10455"/>
    <w:rsid w:val="4FF30D90"/>
    <w:rsid w:val="4FF6779A"/>
    <w:rsid w:val="50007FA1"/>
    <w:rsid w:val="5011080D"/>
    <w:rsid w:val="50142239"/>
    <w:rsid w:val="502D14F5"/>
    <w:rsid w:val="502D5A60"/>
    <w:rsid w:val="502E379C"/>
    <w:rsid w:val="503333EE"/>
    <w:rsid w:val="50402D59"/>
    <w:rsid w:val="50410228"/>
    <w:rsid w:val="506A628A"/>
    <w:rsid w:val="507070C2"/>
    <w:rsid w:val="507322B8"/>
    <w:rsid w:val="507351D6"/>
    <w:rsid w:val="507F5FE9"/>
    <w:rsid w:val="509569BB"/>
    <w:rsid w:val="50A46F20"/>
    <w:rsid w:val="50B431A9"/>
    <w:rsid w:val="50B80F51"/>
    <w:rsid w:val="50BC656F"/>
    <w:rsid w:val="50C64266"/>
    <w:rsid w:val="50CD18F3"/>
    <w:rsid w:val="50DA2806"/>
    <w:rsid w:val="50DD0F57"/>
    <w:rsid w:val="50E04796"/>
    <w:rsid w:val="50E21BB2"/>
    <w:rsid w:val="50E36F86"/>
    <w:rsid w:val="50E908DE"/>
    <w:rsid w:val="50F72D46"/>
    <w:rsid w:val="50F90A6C"/>
    <w:rsid w:val="50FE2B0F"/>
    <w:rsid w:val="5104651E"/>
    <w:rsid w:val="51174EA4"/>
    <w:rsid w:val="511B4C32"/>
    <w:rsid w:val="511F326C"/>
    <w:rsid w:val="512011FD"/>
    <w:rsid w:val="51260291"/>
    <w:rsid w:val="512B619D"/>
    <w:rsid w:val="512F439E"/>
    <w:rsid w:val="514558DA"/>
    <w:rsid w:val="51481DC0"/>
    <w:rsid w:val="51591A83"/>
    <w:rsid w:val="515A1CDE"/>
    <w:rsid w:val="515B795A"/>
    <w:rsid w:val="515F5A1E"/>
    <w:rsid w:val="51641F3F"/>
    <w:rsid w:val="51732DF8"/>
    <w:rsid w:val="5175467C"/>
    <w:rsid w:val="518B3E8F"/>
    <w:rsid w:val="51902007"/>
    <w:rsid w:val="519B1B13"/>
    <w:rsid w:val="51A80972"/>
    <w:rsid w:val="51C5430D"/>
    <w:rsid w:val="51C96161"/>
    <w:rsid w:val="51D15D7D"/>
    <w:rsid w:val="51D364D6"/>
    <w:rsid w:val="51D549E8"/>
    <w:rsid w:val="51F24FE3"/>
    <w:rsid w:val="51FA78D8"/>
    <w:rsid w:val="52037821"/>
    <w:rsid w:val="52040985"/>
    <w:rsid w:val="520E1D83"/>
    <w:rsid w:val="52185C71"/>
    <w:rsid w:val="52290B05"/>
    <w:rsid w:val="52322C76"/>
    <w:rsid w:val="52343906"/>
    <w:rsid w:val="523A7757"/>
    <w:rsid w:val="523C2C94"/>
    <w:rsid w:val="524D2233"/>
    <w:rsid w:val="525477BB"/>
    <w:rsid w:val="52582D49"/>
    <w:rsid w:val="52592C96"/>
    <w:rsid w:val="5264359A"/>
    <w:rsid w:val="52691D69"/>
    <w:rsid w:val="526C1D2D"/>
    <w:rsid w:val="52787B6F"/>
    <w:rsid w:val="5292758F"/>
    <w:rsid w:val="52A3442F"/>
    <w:rsid w:val="52B01A0A"/>
    <w:rsid w:val="52DC3977"/>
    <w:rsid w:val="52E23AEE"/>
    <w:rsid w:val="52F71014"/>
    <w:rsid w:val="52F87EDE"/>
    <w:rsid w:val="53015C6B"/>
    <w:rsid w:val="5303585E"/>
    <w:rsid w:val="53081056"/>
    <w:rsid w:val="532C7C1D"/>
    <w:rsid w:val="53331AB4"/>
    <w:rsid w:val="533F4152"/>
    <w:rsid w:val="534E6A5D"/>
    <w:rsid w:val="53560D71"/>
    <w:rsid w:val="5358066D"/>
    <w:rsid w:val="536D10F7"/>
    <w:rsid w:val="53744B4F"/>
    <w:rsid w:val="537E55B7"/>
    <w:rsid w:val="53871AE8"/>
    <w:rsid w:val="53884F66"/>
    <w:rsid w:val="53980C22"/>
    <w:rsid w:val="53A171C4"/>
    <w:rsid w:val="53C4339D"/>
    <w:rsid w:val="53C97936"/>
    <w:rsid w:val="53CD37DD"/>
    <w:rsid w:val="53D526A0"/>
    <w:rsid w:val="53DD61C4"/>
    <w:rsid w:val="53E14982"/>
    <w:rsid w:val="53E614FF"/>
    <w:rsid w:val="53E62826"/>
    <w:rsid w:val="53F362EA"/>
    <w:rsid w:val="540C41B1"/>
    <w:rsid w:val="54110BDA"/>
    <w:rsid w:val="541C5AFB"/>
    <w:rsid w:val="541D01A5"/>
    <w:rsid w:val="5424586C"/>
    <w:rsid w:val="5424771D"/>
    <w:rsid w:val="543B7B09"/>
    <w:rsid w:val="54434102"/>
    <w:rsid w:val="545259D7"/>
    <w:rsid w:val="54643825"/>
    <w:rsid w:val="5470466B"/>
    <w:rsid w:val="54815686"/>
    <w:rsid w:val="548C51F9"/>
    <w:rsid w:val="549778BD"/>
    <w:rsid w:val="54A74548"/>
    <w:rsid w:val="54C136A7"/>
    <w:rsid w:val="54C15751"/>
    <w:rsid w:val="54C52425"/>
    <w:rsid w:val="54C81C73"/>
    <w:rsid w:val="54D86754"/>
    <w:rsid w:val="54E106D2"/>
    <w:rsid w:val="54E221C1"/>
    <w:rsid w:val="5503494E"/>
    <w:rsid w:val="550637A6"/>
    <w:rsid w:val="55117DB8"/>
    <w:rsid w:val="552C0336"/>
    <w:rsid w:val="55333488"/>
    <w:rsid w:val="55345814"/>
    <w:rsid w:val="554124AE"/>
    <w:rsid w:val="554F4E88"/>
    <w:rsid w:val="555937DA"/>
    <w:rsid w:val="5566103F"/>
    <w:rsid w:val="557C37F0"/>
    <w:rsid w:val="557C67CF"/>
    <w:rsid w:val="55855731"/>
    <w:rsid w:val="55A44928"/>
    <w:rsid w:val="55AE5732"/>
    <w:rsid w:val="55B5059F"/>
    <w:rsid w:val="55B73510"/>
    <w:rsid w:val="55CE550C"/>
    <w:rsid w:val="55D65368"/>
    <w:rsid w:val="55DA3793"/>
    <w:rsid w:val="55E06CE8"/>
    <w:rsid w:val="55E144E6"/>
    <w:rsid w:val="55EA6E29"/>
    <w:rsid w:val="560B442C"/>
    <w:rsid w:val="56166B17"/>
    <w:rsid w:val="5632791B"/>
    <w:rsid w:val="564659C3"/>
    <w:rsid w:val="56595D79"/>
    <w:rsid w:val="565C5CE0"/>
    <w:rsid w:val="56636EF2"/>
    <w:rsid w:val="56794868"/>
    <w:rsid w:val="56843107"/>
    <w:rsid w:val="568B405D"/>
    <w:rsid w:val="56917139"/>
    <w:rsid w:val="56973E60"/>
    <w:rsid w:val="569E0626"/>
    <w:rsid w:val="569E2151"/>
    <w:rsid w:val="56B64732"/>
    <w:rsid w:val="56C530B8"/>
    <w:rsid w:val="56D249D6"/>
    <w:rsid w:val="56DA012E"/>
    <w:rsid w:val="56E2460C"/>
    <w:rsid w:val="56E42CAF"/>
    <w:rsid w:val="56EA5543"/>
    <w:rsid w:val="56F41F92"/>
    <w:rsid w:val="572A065F"/>
    <w:rsid w:val="573408EA"/>
    <w:rsid w:val="57366124"/>
    <w:rsid w:val="573F5AB4"/>
    <w:rsid w:val="574E1331"/>
    <w:rsid w:val="576A2C67"/>
    <w:rsid w:val="57764D89"/>
    <w:rsid w:val="57895448"/>
    <w:rsid w:val="57917C2C"/>
    <w:rsid w:val="57960862"/>
    <w:rsid w:val="57AE10AD"/>
    <w:rsid w:val="57BC4C9C"/>
    <w:rsid w:val="57E01962"/>
    <w:rsid w:val="581B6703"/>
    <w:rsid w:val="582615C1"/>
    <w:rsid w:val="58280CCB"/>
    <w:rsid w:val="58594E31"/>
    <w:rsid w:val="585A7677"/>
    <w:rsid w:val="58845148"/>
    <w:rsid w:val="58931E44"/>
    <w:rsid w:val="58981D89"/>
    <w:rsid w:val="58A27AFB"/>
    <w:rsid w:val="58C73C0F"/>
    <w:rsid w:val="58DB6122"/>
    <w:rsid w:val="590316C1"/>
    <w:rsid w:val="59032669"/>
    <w:rsid w:val="59097102"/>
    <w:rsid w:val="591A455D"/>
    <w:rsid w:val="591B79A8"/>
    <w:rsid w:val="592262E6"/>
    <w:rsid w:val="593123F4"/>
    <w:rsid w:val="5939347F"/>
    <w:rsid w:val="594475B9"/>
    <w:rsid w:val="5957181C"/>
    <w:rsid w:val="59670DB1"/>
    <w:rsid w:val="5993415C"/>
    <w:rsid w:val="599357A9"/>
    <w:rsid w:val="59A81B2F"/>
    <w:rsid w:val="59BD6F43"/>
    <w:rsid w:val="59BE6195"/>
    <w:rsid w:val="59D27A71"/>
    <w:rsid w:val="59D51C1B"/>
    <w:rsid w:val="59D66659"/>
    <w:rsid w:val="59ED6846"/>
    <w:rsid w:val="59F17653"/>
    <w:rsid w:val="59FD4571"/>
    <w:rsid w:val="5A056BFD"/>
    <w:rsid w:val="5A09421C"/>
    <w:rsid w:val="5A0D5E8D"/>
    <w:rsid w:val="5A395037"/>
    <w:rsid w:val="5A485D75"/>
    <w:rsid w:val="5A500891"/>
    <w:rsid w:val="5A5D4817"/>
    <w:rsid w:val="5A622B1C"/>
    <w:rsid w:val="5A702CA7"/>
    <w:rsid w:val="5A784BA4"/>
    <w:rsid w:val="5AA97954"/>
    <w:rsid w:val="5AC04993"/>
    <w:rsid w:val="5AC61DB0"/>
    <w:rsid w:val="5AC703B1"/>
    <w:rsid w:val="5AD419B9"/>
    <w:rsid w:val="5AE348E5"/>
    <w:rsid w:val="5AF25D40"/>
    <w:rsid w:val="5AF406D6"/>
    <w:rsid w:val="5B085AD5"/>
    <w:rsid w:val="5B120970"/>
    <w:rsid w:val="5B212DF2"/>
    <w:rsid w:val="5B2B40AC"/>
    <w:rsid w:val="5B4C2BE0"/>
    <w:rsid w:val="5B610165"/>
    <w:rsid w:val="5B690756"/>
    <w:rsid w:val="5B854EB0"/>
    <w:rsid w:val="5B886A6B"/>
    <w:rsid w:val="5B9073BF"/>
    <w:rsid w:val="5B9668E2"/>
    <w:rsid w:val="5B9A59C3"/>
    <w:rsid w:val="5BB64569"/>
    <w:rsid w:val="5BCF05BC"/>
    <w:rsid w:val="5BCF720B"/>
    <w:rsid w:val="5BD26579"/>
    <w:rsid w:val="5BD45145"/>
    <w:rsid w:val="5BD61556"/>
    <w:rsid w:val="5BDA3C5B"/>
    <w:rsid w:val="5BDB5E91"/>
    <w:rsid w:val="5BE00B04"/>
    <w:rsid w:val="5BF749D7"/>
    <w:rsid w:val="5BFE3A60"/>
    <w:rsid w:val="5C02590C"/>
    <w:rsid w:val="5C0D4790"/>
    <w:rsid w:val="5C2E1E4D"/>
    <w:rsid w:val="5C39526A"/>
    <w:rsid w:val="5C4C7710"/>
    <w:rsid w:val="5C5B40B2"/>
    <w:rsid w:val="5C62711F"/>
    <w:rsid w:val="5C641443"/>
    <w:rsid w:val="5C651FAC"/>
    <w:rsid w:val="5C6D57D9"/>
    <w:rsid w:val="5C6F6A08"/>
    <w:rsid w:val="5C882F70"/>
    <w:rsid w:val="5C892FCB"/>
    <w:rsid w:val="5C9A5F6D"/>
    <w:rsid w:val="5CAB0E17"/>
    <w:rsid w:val="5CAB2D5B"/>
    <w:rsid w:val="5CAB79D3"/>
    <w:rsid w:val="5CBC4995"/>
    <w:rsid w:val="5D0513F5"/>
    <w:rsid w:val="5D06135B"/>
    <w:rsid w:val="5D076F25"/>
    <w:rsid w:val="5D133F58"/>
    <w:rsid w:val="5D1A5393"/>
    <w:rsid w:val="5D1B0C87"/>
    <w:rsid w:val="5D2A28C9"/>
    <w:rsid w:val="5D317C0B"/>
    <w:rsid w:val="5D326378"/>
    <w:rsid w:val="5D610336"/>
    <w:rsid w:val="5D72512E"/>
    <w:rsid w:val="5D7B42B6"/>
    <w:rsid w:val="5D7D307C"/>
    <w:rsid w:val="5D824AA1"/>
    <w:rsid w:val="5D8C7AA2"/>
    <w:rsid w:val="5DA2103F"/>
    <w:rsid w:val="5DAB2F80"/>
    <w:rsid w:val="5DCF4070"/>
    <w:rsid w:val="5DD45B7B"/>
    <w:rsid w:val="5DED586E"/>
    <w:rsid w:val="5DF9398D"/>
    <w:rsid w:val="5E095FD6"/>
    <w:rsid w:val="5E2F066D"/>
    <w:rsid w:val="5E313191"/>
    <w:rsid w:val="5E315DEC"/>
    <w:rsid w:val="5E555C80"/>
    <w:rsid w:val="5E5D258D"/>
    <w:rsid w:val="5E6704E7"/>
    <w:rsid w:val="5E757CAF"/>
    <w:rsid w:val="5E785937"/>
    <w:rsid w:val="5E7C62B6"/>
    <w:rsid w:val="5E7E3F64"/>
    <w:rsid w:val="5E821D61"/>
    <w:rsid w:val="5E852C5B"/>
    <w:rsid w:val="5E96105C"/>
    <w:rsid w:val="5E972B02"/>
    <w:rsid w:val="5EA209B1"/>
    <w:rsid w:val="5EA214B3"/>
    <w:rsid w:val="5EA3465D"/>
    <w:rsid w:val="5EB15B2A"/>
    <w:rsid w:val="5EB93026"/>
    <w:rsid w:val="5EC938D7"/>
    <w:rsid w:val="5ECD1471"/>
    <w:rsid w:val="5ED353E0"/>
    <w:rsid w:val="5EE744DE"/>
    <w:rsid w:val="5F016989"/>
    <w:rsid w:val="5F050C77"/>
    <w:rsid w:val="5F08065B"/>
    <w:rsid w:val="5F0F0AE4"/>
    <w:rsid w:val="5F212A6A"/>
    <w:rsid w:val="5F25133A"/>
    <w:rsid w:val="5F25432A"/>
    <w:rsid w:val="5F4A619F"/>
    <w:rsid w:val="5F5E32FD"/>
    <w:rsid w:val="5F6C5F06"/>
    <w:rsid w:val="5F710676"/>
    <w:rsid w:val="5F741A32"/>
    <w:rsid w:val="5F894FBA"/>
    <w:rsid w:val="5F985F82"/>
    <w:rsid w:val="5F9C6EBA"/>
    <w:rsid w:val="5F9F2F76"/>
    <w:rsid w:val="5F9F3C4D"/>
    <w:rsid w:val="5FA216F8"/>
    <w:rsid w:val="5FCD7881"/>
    <w:rsid w:val="5FCE51B0"/>
    <w:rsid w:val="5FD47093"/>
    <w:rsid w:val="5FD73269"/>
    <w:rsid w:val="5FDA6617"/>
    <w:rsid w:val="5FF955B8"/>
    <w:rsid w:val="5FFD5DE7"/>
    <w:rsid w:val="600479E3"/>
    <w:rsid w:val="60050B91"/>
    <w:rsid w:val="60165C14"/>
    <w:rsid w:val="60244602"/>
    <w:rsid w:val="60261908"/>
    <w:rsid w:val="60280B93"/>
    <w:rsid w:val="6028321D"/>
    <w:rsid w:val="603674F3"/>
    <w:rsid w:val="604D21DA"/>
    <w:rsid w:val="604E6B79"/>
    <w:rsid w:val="605F6A3E"/>
    <w:rsid w:val="6062748C"/>
    <w:rsid w:val="606A4DD2"/>
    <w:rsid w:val="607920A4"/>
    <w:rsid w:val="607C29CD"/>
    <w:rsid w:val="608224E7"/>
    <w:rsid w:val="60895CD2"/>
    <w:rsid w:val="609156FF"/>
    <w:rsid w:val="60950A12"/>
    <w:rsid w:val="60A7668C"/>
    <w:rsid w:val="60C02AF1"/>
    <w:rsid w:val="60C859D0"/>
    <w:rsid w:val="60E174E9"/>
    <w:rsid w:val="60F11ACC"/>
    <w:rsid w:val="610111EA"/>
    <w:rsid w:val="610B26BE"/>
    <w:rsid w:val="612562F1"/>
    <w:rsid w:val="612C5573"/>
    <w:rsid w:val="613C7B36"/>
    <w:rsid w:val="61415E1E"/>
    <w:rsid w:val="61490EC4"/>
    <w:rsid w:val="616D3845"/>
    <w:rsid w:val="617A15CC"/>
    <w:rsid w:val="61801DC3"/>
    <w:rsid w:val="618E64FB"/>
    <w:rsid w:val="618F47D4"/>
    <w:rsid w:val="619706BD"/>
    <w:rsid w:val="61997581"/>
    <w:rsid w:val="61AC59A0"/>
    <w:rsid w:val="61B92923"/>
    <w:rsid w:val="61BB5DF3"/>
    <w:rsid w:val="61CE749F"/>
    <w:rsid w:val="61D66E15"/>
    <w:rsid w:val="61E345E0"/>
    <w:rsid w:val="61F01DEE"/>
    <w:rsid w:val="61FF6957"/>
    <w:rsid w:val="6206449C"/>
    <w:rsid w:val="62095C8A"/>
    <w:rsid w:val="621260FD"/>
    <w:rsid w:val="622257EC"/>
    <w:rsid w:val="62262A28"/>
    <w:rsid w:val="62323A92"/>
    <w:rsid w:val="62494FE9"/>
    <w:rsid w:val="624F2049"/>
    <w:rsid w:val="6255383A"/>
    <w:rsid w:val="626271A0"/>
    <w:rsid w:val="62690E47"/>
    <w:rsid w:val="626B6B7B"/>
    <w:rsid w:val="62735C4D"/>
    <w:rsid w:val="627E778A"/>
    <w:rsid w:val="62A20F7F"/>
    <w:rsid w:val="62A26D46"/>
    <w:rsid w:val="62A400F4"/>
    <w:rsid w:val="62AD7D1A"/>
    <w:rsid w:val="62C45031"/>
    <w:rsid w:val="62CB340F"/>
    <w:rsid w:val="62CC2481"/>
    <w:rsid w:val="62D40767"/>
    <w:rsid w:val="62D47498"/>
    <w:rsid w:val="62D647AE"/>
    <w:rsid w:val="62E26051"/>
    <w:rsid w:val="62ED19E1"/>
    <w:rsid w:val="62EE19D4"/>
    <w:rsid w:val="62F3067B"/>
    <w:rsid w:val="62F52B28"/>
    <w:rsid w:val="62F675AF"/>
    <w:rsid w:val="63005C1B"/>
    <w:rsid w:val="631C6474"/>
    <w:rsid w:val="631E4A5A"/>
    <w:rsid w:val="631F4C9D"/>
    <w:rsid w:val="632732DC"/>
    <w:rsid w:val="633356A8"/>
    <w:rsid w:val="6335598B"/>
    <w:rsid w:val="6348553D"/>
    <w:rsid w:val="636858E8"/>
    <w:rsid w:val="636E1D9B"/>
    <w:rsid w:val="637A7088"/>
    <w:rsid w:val="63B05B43"/>
    <w:rsid w:val="63B340DA"/>
    <w:rsid w:val="63C900B7"/>
    <w:rsid w:val="63D1219F"/>
    <w:rsid w:val="6400714D"/>
    <w:rsid w:val="6403179D"/>
    <w:rsid w:val="64043D37"/>
    <w:rsid w:val="64296FDC"/>
    <w:rsid w:val="642D41AA"/>
    <w:rsid w:val="64356068"/>
    <w:rsid w:val="64482382"/>
    <w:rsid w:val="64515ABF"/>
    <w:rsid w:val="64531DF1"/>
    <w:rsid w:val="646C4103"/>
    <w:rsid w:val="647841EA"/>
    <w:rsid w:val="647B7EB1"/>
    <w:rsid w:val="6482448D"/>
    <w:rsid w:val="648928AA"/>
    <w:rsid w:val="64AF2525"/>
    <w:rsid w:val="64B571FC"/>
    <w:rsid w:val="64D27E30"/>
    <w:rsid w:val="64DB34EA"/>
    <w:rsid w:val="64DD1664"/>
    <w:rsid w:val="64E51E3B"/>
    <w:rsid w:val="64FC41AA"/>
    <w:rsid w:val="65025C93"/>
    <w:rsid w:val="650A0C27"/>
    <w:rsid w:val="65125EED"/>
    <w:rsid w:val="65194ADC"/>
    <w:rsid w:val="653F6A7C"/>
    <w:rsid w:val="654950EA"/>
    <w:rsid w:val="655C66E5"/>
    <w:rsid w:val="657129A7"/>
    <w:rsid w:val="657C22D7"/>
    <w:rsid w:val="657E6A00"/>
    <w:rsid w:val="658F5827"/>
    <w:rsid w:val="659323E7"/>
    <w:rsid w:val="65A03EEB"/>
    <w:rsid w:val="65A23D78"/>
    <w:rsid w:val="65A258EE"/>
    <w:rsid w:val="65DB66E4"/>
    <w:rsid w:val="65E46921"/>
    <w:rsid w:val="65E52F76"/>
    <w:rsid w:val="65F04D33"/>
    <w:rsid w:val="661B0A93"/>
    <w:rsid w:val="66210722"/>
    <w:rsid w:val="66255CD2"/>
    <w:rsid w:val="66437915"/>
    <w:rsid w:val="664909B3"/>
    <w:rsid w:val="666119F3"/>
    <w:rsid w:val="666830B6"/>
    <w:rsid w:val="6680013B"/>
    <w:rsid w:val="66836516"/>
    <w:rsid w:val="66895E91"/>
    <w:rsid w:val="668A7F4B"/>
    <w:rsid w:val="669C061B"/>
    <w:rsid w:val="66A9491B"/>
    <w:rsid w:val="66AA76F2"/>
    <w:rsid w:val="66B06658"/>
    <w:rsid w:val="66B71F5D"/>
    <w:rsid w:val="66C44CD8"/>
    <w:rsid w:val="66D05609"/>
    <w:rsid w:val="66D3237B"/>
    <w:rsid w:val="66D614A2"/>
    <w:rsid w:val="66E44D29"/>
    <w:rsid w:val="66E71606"/>
    <w:rsid w:val="67166EC5"/>
    <w:rsid w:val="67204763"/>
    <w:rsid w:val="67210094"/>
    <w:rsid w:val="672D5FFD"/>
    <w:rsid w:val="67336828"/>
    <w:rsid w:val="673731B3"/>
    <w:rsid w:val="673F1301"/>
    <w:rsid w:val="675170F6"/>
    <w:rsid w:val="675E1C55"/>
    <w:rsid w:val="676A31F2"/>
    <w:rsid w:val="67712305"/>
    <w:rsid w:val="67736FEC"/>
    <w:rsid w:val="677D04DD"/>
    <w:rsid w:val="679223C5"/>
    <w:rsid w:val="67AA35E9"/>
    <w:rsid w:val="67B64EF9"/>
    <w:rsid w:val="67CC16C0"/>
    <w:rsid w:val="67EC2A68"/>
    <w:rsid w:val="67F35ECB"/>
    <w:rsid w:val="67F65DBC"/>
    <w:rsid w:val="67FF6628"/>
    <w:rsid w:val="680342E8"/>
    <w:rsid w:val="68087C91"/>
    <w:rsid w:val="680C4197"/>
    <w:rsid w:val="68161A4C"/>
    <w:rsid w:val="682541DF"/>
    <w:rsid w:val="684F64B5"/>
    <w:rsid w:val="685520C9"/>
    <w:rsid w:val="68592842"/>
    <w:rsid w:val="686167C2"/>
    <w:rsid w:val="686D19B1"/>
    <w:rsid w:val="687B2943"/>
    <w:rsid w:val="6883200C"/>
    <w:rsid w:val="688D50EE"/>
    <w:rsid w:val="689265B7"/>
    <w:rsid w:val="689B1F0C"/>
    <w:rsid w:val="689C27A8"/>
    <w:rsid w:val="689E6169"/>
    <w:rsid w:val="68A012E7"/>
    <w:rsid w:val="68AC2628"/>
    <w:rsid w:val="68BD1FC4"/>
    <w:rsid w:val="68C107A0"/>
    <w:rsid w:val="68C44461"/>
    <w:rsid w:val="68E55AD1"/>
    <w:rsid w:val="68EC2B10"/>
    <w:rsid w:val="68F67F71"/>
    <w:rsid w:val="68FE26A1"/>
    <w:rsid w:val="69135AB7"/>
    <w:rsid w:val="69170944"/>
    <w:rsid w:val="691A4A6A"/>
    <w:rsid w:val="69545358"/>
    <w:rsid w:val="6965570D"/>
    <w:rsid w:val="69752C39"/>
    <w:rsid w:val="698A51F6"/>
    <w:rsid w:val="698A76FD"/>
    <w:rsid w:val="699957CD"/>
    <w:rsid w:val="69A53CE1"/>
    <w:rsid w:val="69B115AB"/>
    <w:rsid w:val="69C75989"/>
    <w:rsid w:val="69CC03B4"/>
    <w:rsid w:val="69D54202"/>
    <w:rsid w:val="69DA5F5C"/>
    <w:rsid w:val="69DE160F"/>
    <w:rsid w:val="69ED1BAB"/>
    <w:rsid w:val="69F17947"/>
    <w:rsid w:val="69F6462C"/>
    <w:rsid w:val="6A010DFB"/>
    <w:rsid w:val="6A083AE2"/>
    <w:rsid w:val="6A0B66EF"/>
    <w:rsid w:val="6A1D1AFD"/>
    <w:rsid w:val="6A32535E"/>
    <w:rsid w:val="6A3412C4"/>
    <w:rsid w:val="6A3529B6"/>
    <w:rsid w:val="6A3548A6"/>
    <w:rsid w:val="6A417AA1"/>
    <w:rsid w:val="6A475884"/>
    <w:rsid w:val="6A4B5A60"/>
    <w:rsid w:val="6A6062D1"/>
    <w:rsid w:val="6A6C40F7"/>
    <w:rsid w:val="6A6E2E22"/>
    <w:rsid w:val="6A6E5C68"/>
    <w:rsid w:val="6A6F4803"/>
    <w:rsid w:val="6A7D6E30"/>
    <w:rsid w:val="6A7F581D"/>
    <w:rsid w:val="6A915FF5"/>
    <w:rsid w:val="6A9A08C6"/>
    <w:rsid w:val="6A9C2392"/>
    <w:rsid w:val="6AA12085"/>
    <w:rsid w:val="6ABD20F1"/>
    <w:rsid w:val="6ACF0A47"/>
    <w:rsid w:val="6AD251D6"/>
    <w:rsid w:val="6AF808BE"/>
    <w:rsid w:val="6AFE540C"/>
    <w:rsid w:val="6B015D35"/>
    <w:rsid w:val="6B017DBD"/>
    <w:rsid w:val="6B024C5F"/>
    <w:rsid w:val="6B1812F9"/>
    <w:rsid w:val="6B200B90"/>
    <w:rsid w:val="6B3F0BA9"/>
    <w:rsid w:val="6B474827"/>
    <w:rsid w:val="6B4D3ACA"/>
    <w:rsid w:val="6B511BD5"/>
    <w:rsid w:val="6B612371"/>
    <w:rsid w:val="6B6E1603"/>
    <w:rsid w:val="6B7211DE"/>
    <w:rsid w:val="6B733E20"/>
    <w:rsid w:val="6B983A6E"/>
    <w:rsid w:val="6B9E432F"/>
    <w:rsid w:val="6BA157B1"/>
    <w:rsid w:val="6BAC208A"/>
    <w:rsid w:val="6BAC63E0"/>
    <w:rsid w:val="6BB66D0F"/>
    <w:rsid w:val="6BD822F1"/>
    <w:rsid w:val="6BF311A4"/>
    <w:rsid w:val="6BF924D9"/>
    <w:rsid w:val="6C130944"/>
    <w:rsid w:val="6C1E070B"/>
    <w:rsid w:val="6C1E3605"/>
    <w:rsid w:val="6C276ACB"/>
    <w:rsid w:val="6C3031A0"/>
    <w:rsid w:val="6C3309F1"/>
    <w:rsid w:val="6C4C4ABA"/>
    <w:rsid w:val="6C6A3B4A"/>
    <w:rsid w:val="6C6A6D22"/>
    <w:rsid w:val="6C782496"/>
    <w:rsid w:val="6C8E04D6"/>
    <w:rsid w:val="6C962F12"/>
    <w:rsid w:val="6CA2751B"/>
    <w:rsid w:val="6CAC2485"/>
    <w:rsid w:val="6CAC4B33"/>
    <w:rsid w:val="6CB61EDC"/>
    <w:rsid w:val="6CBB26DD"/>
    <w:rsid w:val="6CBE2A6F"/>
    <w:rsid w:val="6CCD2831"/>
    <w:rsid w:val="6CD773B7"/>
    <w:rsid w:val="6CF02768"/>
    <w:rsid w:val="6CF055C4"/>
    <w:rsid w:val="6CF1468D"/>
    <w:rsid w:val="6D1839B1"/>
    <w:rsid w:val="6D2F2A48"/>
    <w:rsid w:val="6D36194E"/>
    <w:rsid w:val="6D432570"/>
    <w:rsid w:val="6D483E57"/>
    <w:rsid w:val="6D54452B"/>
    <w:rsid w:val="6D5C0837"/>
    <w:rsid w:val="6D6055A3"/>
    <w:rsid w:val="6D6B0FDF"/>
    <w:rsid w:val="6D6E26BA"/>
    <w:rsid w:val="6DBE1290"/>
    <w:rsid w:val="6DBE12BF"/>
    <w:rsid w:val="6DC0203F"/>
    <w:rsid w:val="6DC07FBE"/>
    <w:rsid w:val="6DC81B68"/>
    <w:rsid w:val="6DDC7F86"/>
    <w:rsid w:val="6DEE11A4"/>
    <w:rsid w:val="6E080FE0"/>
    <w:rsid w:val="6E097263"/>
    <w:rsid w:val="6E0B7105"/>
    <w:rsid w:val="6E0D26AB"/>
    <w:rsid w:val="6E1D302B"/>
    <w:rsid w:val="6E2022F3"/>
    <w:rsid w:val="6E3B3401"/>
    <w:rsid w:val="6E3E10DC"/>
    <w:rsid w:val="6E517267"/>
    <w:rsid w:val="6E6609DA"/>
    <w:rsid w:val="6E69199B"/>
    <w:rsid w:val="6E8952F3"/>
    <w:rsid w:val="6EA2567E"/>
    <w:rsid w:val="6EA705D6"/>
    <w:rsid w:val="6EA726A0"/>
    <w:rsid w:val="6EBD577A"/>
    <w:rsid w:val="6EC43B7B"/>
    <w:rsid w:val="6EC757D6"/>
    <w:rsid w:val="6EDF37EB"/>
    <w:rsid w:val="6EE476C0"/>
    <w:rsid w:val="6EE558A8"/>
    <w:rsid w:val="6EF40695"/>
    <w:rsid w:val="6F1C2241"/>
    <w:rsid w:val="6F1C71D7"/>
    <w:rsid w:val="6F2D3E96"/>
    <w:rsid w:val="6F430C83"/>
    <w:rsid w:val="6F477BDB"/>
    <w:rsid w:val="6F4E7740"/>
    <w:rsid w:val="6F6504B1"/>
    <w:rsid w:val="6F713E95"/>
    <w:rsid w:val="6F7B76F7"/>
    <w:rsid w:val="6F83000E"/>
    <w:rsid w:val="6F86187A"/>
    <w:rsid w:val="6F9E0F66"/>
    <w:rsid w:val="6FD64E60"/>
    <w:rsid w:val="6FFA5BA8"/>
    <w:rsid w:val="70095F6D"/>
    <w:rsid w:val="70183F5C"/>
    <w:rsid w:val="702A4EF6"/>
    <w:rsid w:val="703B3BFC"/>
    <w:rsid w:val="70456902"/>
    <w:rsid w:val="704E079D"/>
    <w:rsid w:val="704E6B13"/>
    <w:rsid w:val="705868EE"/>
    <w:rsid w:val="706132E2"/>
    <w:rsid w:val="707937B5"/>
    <w:rsid w:val="708800A3"/>
    <w:rsid w:val="708A0251"/>
    <w:rsid w:val="709355DB"/>
    <w:rsid w:val="70984A9D"/>
    <w:rsid w:val="70A006F5"/>
    <w:rsid w:val="70A03275"/>
    <w:rsid w:val="70B97F01"/>
    <w:rsid w:val="70D43A45"/>
    <w:rsid w:val="70E36886"/>
    <w:rsid w:val="70FD19B1"/>
    <w:rsid w:val="71055B7F"/>
    <w:rsid w:val="71162AAC"/>
    <w:rsid w:val="712E3E54"/>
    <w:rsid w:val="7142520F"/>
    <w:rsid w:val="714C61F5"/>
    <w:rsid w:val="71500D66"/>
    <w:rsid w:val="71581790"/>
    <w:rsid w:val="715E244A"/>
    <w:rsid w:val="7160451D"/>
    <w:rsid w:val="71642005"/>
    <w:rsid w:val="716821C1"/>
    <w:rsid w:val="7177196F"/>
    <w:rsid w:val="71890319"/>
    <w:rsid w:val="718977BA"/>
    <w:rsid w:val="718F77F7"/>
    <w:rsid w:val="71A44B59"/>
    <w:rsid w:val="71A8332A"/>
    <w:rsid w:val="71AC4369"/>
    <w:rsid w:val="71BF0E37"/>
    <w:rsid w:val="71CE3E8D"/>
    <w:rsid w:val="71D46963"/>
    <w:rsid w:val="71DB394C"/>
    <w:rsid w:val="71DF6F69"/>
    <w:rsid w:val="71E24B53"/>
    <w:rsid w:val="71F202C2"/>
    <w:rsid w:val="71F34903"/>
    <w:rsid w:val="71F377CA"/>
    <w:rsid w:val="72092084"/>
    <w:rsid w:val="723A71A1"/>
    <w:rsid w:val="723B5ED5"/>
    <w:rsid w:val="727A5F3A"/>
    <w:rsid w:val="72996AF2"/>
    <w:rsid w:val="72A20F92"/>
    <w:rsid w:val="72A57793"/>
    <w:rsid w:val="72B56EEF"/>
    <w:rsid w:val="72B91DFA"/>
    <w:rsid w:val="72D1391C"/>
    <w:rsid w:val="72DB254B"/>
    <w:rsid w:val="72DE1017"/>
    <w:rsid w:val="73041A11"/>
    <w:rsid w:val="730B7748"/>
    <w:rsid w:val="730F65B9"/>
    <w:rsid w:val="731E5A43"/>
    <w:rsid w:val="73445DCA"/>
    <w:rsid w:val="73566852"/>
    <w:rsid w:val="73566F03"/>
    <w:rsid w:val="736B7A06"/>
    <w:rsid w:val="7370105A"/>
    <w:rsid w:val="73797A10"/>
    <w:rsid w:val="738D0E3C"/>
    <w:rsid w:val="7394210D"/>
    <w:rsid w:val="73962BF8"/>
    <w:rsid w:val="73B268EA"/>
    <w:rsid w:val="73C85ACF"/>
    <w:rsid w:val="73C938BB"/>
    <w:rsid w:val="73D079A0"/>
    <w:rsid w:val="73D137E4"/>
    <w:rsid w:val="73D732CF"/>
    <w:rsid w:val="73DA4058"/>
    <w:rsid w:val="73DF1C2D"/>
    <w:rsid w:val="73FB161F"/>
    <w:rsid w:val="740D1A98"/>
    <w:rsid w:val="740E0FBA"/>
    <w:rsid w:val="74105214"/>
    <w:rsid w:val="7413358A"/>
    <w:rsid w:val="741E1946"/>
    <w:rsid w:val="742A1DAE"/>
    <w:rsid w:val="74305F46"/>
    <w:rsid w:val="74325311"/>
    <w:rsid w:val="743C4162"/>
    <w:rsid w:val="74490049"/>
    <w:rsid w:val="744B00D6"/>
    <w:rsid w:val="746E42F6"/>
    <w:rsid w:val="74860E62"/>
    <w:rsid w:val="74880036"/>
    <w:rsid w:val="74963132"/>
    <w:rsid w:val="74B96A42"/>
    <w:rsid w:val="74C80246"/>
    <w:rsid w:val="74CB65F5"/>
    <w:rsid w:val="74CD27B7"/>
    <w:rsid w:val="74D52EBA"/>
    <w:rsid w:val="74D87AF7"/>
    <w:rsid w:val="74E124F8"/>
    <w:rsid w:val="74E44C3F"/>
    <w:rsid w:val="74E93CEC"/>
    <w:rsid w:val="74F77A8B"/>
    <w:rsid w:val="750220D2"/>
    <w:rsid w:val="750D2269"/>
    <w:rsid w:val="750D4773"/>
    <w:rsid w:val="75263471"/>
    <w:rsid w:val="752B429D"/>
    <w:rsid w:val="752E76A1"/>
    <w:rsid w:val="7543104E"/>
    <w:rsid w:val="7548473E"/>
    <w:rsid w:val="75587E77"/>
    <w:rsid w:val="75666FB1"/>
    <w:rsid w:val="756675FA"/>
    <w:rsid w:val="756D215D"/>
    <w:rsid w:val="757A6592"/>
    <w:rsid w:val="757E70E6"/>
    <w:rsid w:val="75856056"/>
    <w:rsid w:val="75B27A3C"/>
    <w:rsid w:val="75BD5B8B"/>
    <w:rsid w:val="75C329E5"/>
    <w:rsid w:val="75C3677F"/>
    <w:rsid w:val="75D42472"/>
    <w:rsid w:val="75D50149"/>
    <w:rsid w:val="75D85802"/>
    <w:rsid w:val="75DA5CF4"/>
    <w:rsid w:val="75DC7BAC"/>
    <w:rsid w:val="75E32616"/>
    <w:rsid w:val="75E609D5"/>
    <w:rsid w:val="75F12525"/>
    <w:rsid w:val="75FE1174"/>
    <w:rsid w:val="761001D4"/>
    <w:rsid w:val="761E63CA"/>
    <w:rsid w:val="76263265"/>
    <w:rsid w:val="76277A41"/>
    <w:rsid w:val="76342A75"/>
    <w:rsid w:val="76392A92"/>
    <w:rsid w:val="763E7DAB"/>
    <w:rsid w:val="76437492"/>
    <w:rsid w:val="764C22AA"/>
    <w:rsid w:val="76506CB5"/>
    <w:rsid w:val="76560155"/>
    <w:rsid w:val="76617C75"/>
    <w:rsid w:val="767A6B33"/>
    <w:rsid w:val="767E34F8"/>
    <w:rsid w:val="768C25BD"/>
    <w:rsid w:val="76A7774D"/>
    <w:rsid w:val="76B16C97"/>
    <w:rsid w:val="76BA7847"/>
    <w:rsid w:val="76C31406"/>
    <w:rsid w:val="76DB1F5D"/>
    <w:rsid w:val="76ED567A"/>
    <w:rsid w:val="76F35243"/>
    <w:rsid w:val="76FD03E7"/>
    <w:rsid w:val="77033AF5"/>
    <w:rsid w:val="772D44B9"/>
    <w:rsid w:val="772D5858"/>
    <w:rsid w:val="77453DDC"/>
    <w:rsid w:val="77463CCC"/>
    <w:rsid w:val="775E6B02"/>
    <w:rsid w:val="776F0A56"/>
    <w:rsid w:val="77772082"/>
    <w:rsid w:val="77784943"/>
    <w:rsid w:val="77787755"/>
    <w:rsid w:val="777A6292"/>
    <w:rsid w:val="777C19DA"/>
    <w:rsid w:val="77877C96"/>
    <w:rsid w:val="778A0D23"/>
    <w:rsid w:val="778B3676"/>
    <w:rsid w:val="77A05274"/>
    <w:rsid w:val="77A808C3"/>
    <w:rsid w:val="77AD7374"/>
    <w:rsid w:val="77AF0451"/>
    <w:rsid w:val="77CA7BAA"/>
    <w:rsid w:val="77CD31DE"/>
    <w:rsid w:val="77D606C7"/>
    <w:rsid w:val="77EB2BA0"/>
    <w:rsid w:val="77FA1893"/>
    <w:rsid w:val="78064157"/>
    <w:rsid w:val="780E75A4"/>
    <w:rsid w:val="780F0C8F"/>
    <w:rsid w:val="781864EA"/>
    <w:rsid w:val="781F6EAD"/>
    <w:rsid w:val="782D7D2B"/>
    <w:rsid w:val="783915FE"/>
    <w:rsid w:val="78527F44"/>
    <w:rsid w:val="78575483"/>
    <w:rsid w:val="785B4425"/>
    <w:rsid w:val="78705AFA"/>
    <w:rsid w:val="78811F5F"/>
    <w:rsid w:val="788C5AB5"/>
    <w:rsid w:val="78A63666"/>
    <w:rsid w:val="78B427AB"/>
    <w:rsid w:val="78B7331B"/>
    <w:rsid w:val="78C304F2"/>
    <w:rsid w:val="78C54FC9"/>
    <w:rsid w:val="78C91464"/>
    <w:rsid w:val="78CE52F3"/>
    <w:rsid w:val="78D43C48"/>
    <w:rsid w:val="78E05F29"/>
    <w:rsid w:val="78E21BF2"/>
    <w:rsid w:val="78E439FC"/>
    <w:rsid w:val="78E46669"/>
    <w:rsid w:val="78EE6681"/>
    <w:rsid w:val="78F33DAF"/>
    <w:rsid w:val="78F869E9"/>
    <w:rsid w:val="78FF6B3A"/>
    <w:rsid w:val="79030FB9"/>
    <w:rsid w:val="790314A3"/>
    <w:rsid w:val="79100A4F"/>
    <w:rsid w:val="791453EC"/>
    <w:rsid w:val="791D4C1B"/>
    <w:rsid w:val="792623CF"/>
    <w:rsid w:val="79296DBD"/>
    <w:rsid w:val="792C5666"/>
    <w:rsid w:val="793877D8"/>
    <w:rsid w:val="793A39C0"/>
    <w:rsid w:val="79504C95"/>
    <w:rsid w:val="795D3670"/>
    <w:rsid w:val="797D6B51"/>
    <w:rsid w:val="798376C4"/>
    <w:rsid w:val="79884AE9"/>
    <w:rsid w:val="798D1166"/>
    <w:rsid w:val="79BB2C5E"/>
    <w:rsid w:val="79EE23A8"/>
    <w:rsid w:val="79F31236"/>
    <w:rsid w:val="7A06548F"/>
    <w:rsid w:val="7A072E1B"/>
    <w:rsid w:val="7A0F12E6"/>
    <w:rsid w:val="7A25070C"/>
    <w:rsid w:val="7A2A24DE"/>
    <w:rsid w:val="7A2A2607"/>
    <w:rsid w:val="7A2C3338"/>
    <w:rsid w:val="7A3A33AB"/>
    <w:rsid w:val="7A3A5F91"/>
    <w:rsid w:val="7A443267"/>
    <w:rsid w:val="7A4D147E"/>
    <w:rsid w:val="7A522DA5"/>
    <w:rsid w:val="7A5243DB"/>
    <w:rsid w:val="7A616124"/>
    <w:rsid w:val="7A6C0BA8"/>
    <w:rsid w:val="7A6F2FA2"/>
    <w:rsid w:val="7A824C3A"/>
    <w:rsid w:val="7A887E20"/>
    <w:rsid w:val="7A936E5F"/>
    <w:rsid w:val="7AB1180B"/>
    <w:rsid w:val="7AC16DC2"/>
    <w:rsid w:val="7AD171AA"/>
    <w:rsid w:val="7AF12739"/>
    <w:rsid w:val="7AFA4E78"/>
    <w:rsid w:val="7B022868"/>
    <w:rsid w:val="7B1D37E9"/>
    <w:rsid w:val="7B3103E1"/>
    <w:rsid w:val="7B323F55"/>
    <w:rsid w:val="7B3263BD"/>
    <w:rsid w:val="7B3E79C0"/>
    <w:rsid w:val="7B486C23"/>
    <w:rsid w:val="7B51571F"/>
    <w:rsid w:val="7B5D4673"/>
    <w:rsid w:val="7B6C408D"/>
    <w:rsid w:val="7B7E5459"/>
    <w:rsid w:val="7B871187"/>
    <w:rsid w:val="7B8F4EBC"/>
    <w:rsid w:val="7BA27F9C"/>
    <w:rsid w:val="7BA40FFB"/>
    <w:rsid w:val="7BA57D50"/>
    <w:rsid w:val="7BAC0CAB"/>
    <w:rsid w:val="7BAF37ED"/>
    <w:rsid w:val="7BB8027E"/>
    <w:rsid w:val="7BC7231A"/>
    <w:rsid w:val="7BD7125A"/>
    <w:rsid w:val="7BE26AC8"/>
    <w:rsid w:val="7BEA7F06"/>
    <w:rsid w:val="7BEB15BF"/>
    <w:rsid w:val="7BFC1FA4"/>
    <w:rsid w:val="7BFE31FE"/>
    <w:rsid w:val="7C0E55F8"/>
    <w:rsid w:val="7C1576DC"/>
    <w:rsid w:val="7C244D17"/>
    <w:rsid w:val="7C400236"/>
    <w:rsid w:val="7C461BA7"/>
    <w:rsid w:val="7C593BEF"/>
    <w:rsid w:val="7C636206"/>
    <w:rsid w:val="7C6F7A0C"/>
    <w:rsid w:val="7C730D95"/>
    <w:rsid w:val="7C775C29"/>
    <w:rsid w:val="7C811ABB"/>
    <w:rsid w:val="7C84374C"/>
    <w:rsid w:val="7C8D2C99"/>
    <w:rsid w:val="7C9C0220"/>
    <w:rsid w:val="7C9E6595"/>
    <w:rsid w:val="7CA557B0"/>
    <w:rsid w:val="7CB3084C"/>
    <w:rsid w:val="7CB64890"/>
    <w:rsid w:val="7CC2750A"/>
    <w:rsid w:val="7CD628FF"/>
    <w:rsid w:val="7CE87AF5"/>
    <w:rsid w:val="7D014F8B"/>
    <w:rsid w:val="7D0A7C90"/>
    <w:rsid w:val="7D0D7524"/>
    <w:rsid w:val="7D2C698E"/>
    <w:rsid w:val="7D3B53D7"/>
    <w:rsid w:val="7D6E5376"/>
    <w:rsid w:val="7D7155E0"/>
    <w:rsid w:val="7D783202"/>
    <w:rsid w:val="7D7904E3"/>
    <w:rsid w:val="7D8B0DBC"/>
    <w:rsid w:val="7D9D5A8F"/>
    <w:rsid w:val="7D9E0355"/>
    <w:rsid w:val="7D9F45CF"/>
    <w:rsid w:val="7DC51FB6"/>
    <w:rsid w:val="7DDC3251"/>
    <w:rsid w:val="7DE03C2C"/>
    <w:rsid w:val="7DFF7FDA"/>
    <w:rsid w:val="7E0C6635"/>
    <w:rsid w:val="7E186EB5"/>
    <w:rsid w:val="7E221DEB"/>
    <w:rsid w:val="7E274A88"/>
    <w:rsid w:val="7E3C48CF"/>
    <w:rsid w:val="7E411EF5"/>
    <w:rsid w:val="7E43770C"/>
    <w:rsid w:val="7E5346B8"/>
    <w:rsid w:val="7E625ACD"/>
    <w:rsid w:val="7E663861"/>
    <w:rsid w:val="7E675BB9"/>
    <w:rsid w:val="7E6B6C8A"/>
    <w:rsid w:val="7E6B77EA"/>
    <w:rsid w:val="7E7051EC"/>
    <w:rsid w:val="7E772B20"/>
    <w:rsid w:val="7E8C186F"/>
    <w:rsid w:val="7EAC6168"/>
    <w:rsid w:val="7EB3696E"/>
    <w:rsid w:val="7EB47EE6"/>
    <w:rsid w:val="7EBD3B2B"/>
    <w:rsid w:val="7EC218D0"/>
    <w:rsid w:val="7EE34D80"/>
    <w:rsid w:val="7EEB4C85"/>
    <w:rsid w:val="7EEF34CE"/>
    <w:rsid w:val="7EF21537"/>
    <w:rsid w:val="7EF53B35"/>
    <w:rsid w:val="7EFC093A"/>
    <w:rsid w:val="7EFF2BDC"/>
    <w:rsid w:val="7F004C99"/>
    <w:rsid w:val="7F095CDC"/>
    <w:rsid w:val="7F355FB5"/>
    <w:rsid w:val="7F381A33"/>
    <w:rsid w:val="7F423106"/>
    <w:rsid w:val="7F464A18"/>
    <w:rsid w:val="7F502381"/>
    <w:rsid w:val="7F5A0FD8"/>
    <w:rsid w:val="7F72403E"/>
    <w:rsid w:val="7F734F41"/>
    <w:rsid w:val="7F7B1610"/>
    <w:rsid w:val="7F7E36FA"/>
    <w:rsid w:val="7F817BFE"/>
    <w:rsid w:val="7FA03398"/>
    <w:rsid w:val="7FA44F86"/>
    <w:rsid w:val="7FAF6E50"/>
    <w:rsid w:val="7FBE3547"/>
    <w:rsid w:val="7FC0007E"/>
    <w:rsid w:val="7FDA2E15"/>
    <w:rsid w:val="7FDF638C"/>
    <w:rsid w:val="7FE76D48"/>
    <w:rsid w:val="7FE82E4F"/>
    <w:rsid w:val="7FEC15F9"/>
    <w:rsid w:val="7FF44B99"/>
    <w:rsid w:val="7FF839C2"/>
    <w:rsid w:val="7FF90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0"/>
    <w:qFormat/>
    <w:uiPriority w:val="0"/>
    <w:pPr>
      <w:keepNext/>
      <w:keepLines/>
      <w:numPr>
        <w:ilvl w:val="0"/>
        <w:numId w:val="1"/>
      </w:numPr>
      <w:pBdr>
        <w:top w:val="single" w:color="auto" w:sz="12" w:space="3"/>
      </w:pBdr>
      <w:tabs>
        <w:tab w:val="left" w:pos="432"/>
      </w:tabs>
      <w:spacing w:before="50" w:beforeLines="50"/>
      <w:outlineLvl w:val="0"/>
    </w:pPr>
    <w:rPr>
      <w:rFonts w:ascii="Arial" w:hAnsi="Arial" w:eastAsia="宋体"/>
      <w:sz w:val="28"/>
      <w:szCs w:val="22"/>
      <w:lang w:eastAsia="zh-CN"/>
    </w:rPr>
  </w:style>
  <w:style w:type="paragraph" w:styleId="3">
    <w:name w:val="heading 2"/>
    <w:basedOn w:val="1"/>
    <w:next w:val="1"/>
    <w:qFormat/>
    <w:uiPriority w:val="0"/>
    <w:pPr>
      <w:pBdr>
        <w:top w:val="none" w:color="auto" w:sz="0" w:space="3"/>
        <w:left w:val="none" w:color="auto" w:sz="0" w:space="4"/>
        <w:bottom w:val="none" w:color="auto" w:sz="0" w:space="1"/>
        <w:right w:val="none" w:color="auto" w:sz="0" w:space="4"/>
      </w:pBdr>
      <w:tabs>
        <w:tab w:val="left" w:pos="576"/>
      </w:tabs>
      <w:spacing w:before="240"/>
      <w:ind w:left="578" w:hanging="578"/>
      <w:outlineLvl w:val="1"/>
    </w:pPr>
    <w:rPr>
      <w:rFonts w:ascii="Arial" w:hAnsi="Arial" w:eastAsia="宋体" w:cs="Arial"/>
      <w:bCs/>
      <w:iCs/>
      <w:sz w:val="24"/>
      <w:szCs w:val="28"/>
      <w:lang w:val="en-US"/>
    </w:rPr>
  </w:style>
  <w:style w:type="paragraph" w:styleId="4">
    <w:name w:val="heading 3"/>
    <w:basedOn w:val="1"/>
    <w:next w:val="1"/>
    <w:qFormat/>
    <w:uiPriority w:val="0"/>
    <w:pPr>
      <w:keepNext/>
      <w:tabs>
        <w:tab w:val="left" w:pos="720"/>
      </w:tabs>
      <w:spacing w:before="240" w:after="240"/>
      <w:ind w:left="720" w:hanging="720"/>
      <w:outlineLvl w:val="2"/>
    </w:pPr>
    <w:rPr>
      <w:rFonts w:ascii="Arial" w:hAnsi="Arial" w:eastAsia="宋体"/>
      <w:sz w:val="21"/>
      <w:szCs w:val="26"/>
    </w:rPr>
  </w:style>
  <w:style w:type="paragraph" w:styleId="5">
    <w:name w:val="heading 4"/>
    <w:basedOn w:val="1"/>
    <w:next w:val="1"/>
    <w:link w:val="41"/>
    <w:qFormat/>
    <w:uiPriority w:val="0"/>
    <w:pPr>
      <w:keepNext/>
      <w:tabs>
        <w:tab w:val="left" w:pos="864"/>
      </w:tabs>
      <w:spacing w:before="120"/>
      <w:ind w:left="862" w:hanging="862"/>
      <w:outlineLvl w:val="3"/>
    </w:pPr>
    <w:rPr>
      <w:b/>
      <w:bCs/>
      <w:sz w:val="21"/>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5"/>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1"/>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6"/>
    <w:qFormat/>
    <w:uiPriority w:val="0"/>
    <w:rPr>
      <w:b/>
      <w:bCs/>
    </w:rPr>
  </w:style>
  <w:style w:type="paragraph" w:styleId="14">
    <w:name w:val="List Bullet"/>
    <w:basedOn w:val="15"/>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5">
    <w:name w:val="Body Text"/>
    <w:basedOn w:val="1"/>
    <w:link w:val="99"/>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2"/>
    <w:unhideWhenUsed/>
    <w:qFormat/>
    <w:uiPriority w:val="0"/>
  </w:style>
  <w:style w:type="paragraph" w:styleId="18">
    <w:name w:val="Body Text Indent"/>
    <w:basedOn w:val="1"/>
    <w:qFormat/>
    <w:uiPriority w:val="0"/>
    <w:pPr>
      <w:ind w:left="283"/>
    </w:pPr>
  </w:style>
  <w:style w:type="paragraph" w:styleId="19">
    <w:name w:val="Balloon Text"/>
    <w:basedOn w:val="1"/>
    <w:link w:val="35"/>
    <w:unhideWhenUsed/>
    <w:qFormat/>
    <w:uiPriority w:val="99"/>
    <w:pPr>
      <w:spacing w:after="0"/>
    </w:pPr>
    <w:rPr>
      <w:rFonts w:ascii="Tahoma" w:hAnsi="Tahoma" w:cs="Tahoma"/>
      <w:sz w:val="16"/>
      <w:szCs w:val="16"/>
    </w:rPr>
  </w:style>
  <w:style w:type="paragraph" w:styleId="20">
    <w:name w:val="footer"/>
    <w:basedOn w:val="1"/>
    <w:link w:val="56"/>
    <w:unhideWhenUsed/>
    <w:qFormat/>
    <w:uiPriority w:val="99"/>
    <w:pPr>
      <w:tabs>
        <w:tab w:val="center" w:pos="4513"/>
        <w:tab w:val="right" w:pos="9026"/>
      </w:tabs>
    </w:pPr>
  </w:style>
  <w:style w:type="paragraph" w:styleId="21">
    <w:name w:val="header"/>
    <w:link w:val="50"/>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5"/>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FollowedHyperlink"/>
    <w:basedOn w:val="29"/>
    <w:qFormat/>
    <w:uiPriority w:val="0"/>
    <w:rPr>
      <w:color w:val="800080"/>
      <w:u w:val="single"/>
    </w:rPr>
  </w:style>
  <w:style w:type="character" w:styleId="32">
    <w:name w:val="Hyperlink"/>
    <w:basedOn w:val="29"/>
    <w:unhideWhenUsed/>
    <w:qFormat/>
    <w:uiPriority w:val="99"/>
    <w:rPr>
      <w:color w:val="0000FF"/>
      <w:u w:val="single"/>
    </w:rPr>
  </w:style>
  <w:style w:type="character" w:styleId="33">
    <w:name w:val="annotation reference"/>
    <w:basedOn w:val="29"/>
    <w:unhideWhenUsed/>
    <w:qFormat/>
    <w:uiPriority w:val="0"/>
    <w:rPr>
      <w:sz w:val="16"/>
      <w:szCs w:val="16"/>
    </w:rPr>
  </w:style>
  <w:style w:type="character" w:styleId="34">
    <w:name w:val="footnote reference"/>
    <w:basedOn w:val="29"/>
    <w:unhideWhenUsed/>
    <w:qFormat/>
    <w:uiPriority w:val="99"/>
    <w:rPr>
      <w:vertAlign w:val="superscript"/>
    </w:rPr>
  </w:style>
  <w:style w:type="character" w:customStyle="1" w:styleId="35">
    <w:name w:val="批注框文本 Char"/>
    <w:basedOn w:val="29"/>
    <w:link w:val="19"/>
    <w:semiHidden/>
    <w:qFormat/>
    <w:uiPriority w:val="99"/>
    <w:rPr>
      <w:rFonts w:ascii="Tahoma" w:hAnsi="Tahoma" w:eastAsia="Times New Roman" w:cs="Tahoma"/>
      <w:sz w:val="16"/>
      <w:szCs w:val="16"/>
      <w:lang w:val="en-GB"/>
    </w:rPr>
  </w:style>
  <w:style w:type="character" w:customStyle="1" w:styleId="36">
    <w:name w:val="题注 Char"/>
    <w:basedOn w:val="29"/>
    <w:link w:val="13"/>
    <w:qFormat/>
    <w:uiPriority w:val="0"/>
    <w:rPr>
      <w:b/>
      <w:bCs/>
      <w:lang w:val="en-GB" w:eastAsia="en-US" w:bidi="ar-SA"/>
    </w:rPr>
  </w:style>
  <w:style w:type="character" w:customStyle="1" w:styleId="37">
    <w:name w:val="B1 (文字)"/>
    <w:basedOn w:val="29"/>
    <w:qFormat/>
    <w:uiPriority w:val="0"/>
    <w:rPr>
      <w:rFonts w:eastAsia="Times New Roman"/>
    </w:rPr>
  </w:style>
  <w:style w:type="character" w:customStyle="1" w:styleId="38">
    <w:name w:val="样式 正文缩进d + 首行缩进:  2 字符 段前: 0.35 行 Char"/>
    <w:basedOn w:val="29"/>
    <w:link w:val="39"/>
    <w:qFormat/>
    <w:locked/>
    <w:uiPriority w:val="0"/>
    <w:rPr>
      <w:rFonts w:ascii="Times New Roman" w:hAnsi="Times New Roman" w:eastAsia="楷体_GB2312" w:cs="宋体"/>
      <w:snapToGrid w:val="0"/>
      <w:sz w:val="28"/>
    </w:rPr>
  </w:style>
  <w:style w:type="paragraph" w:customStyle="1" w:styleId="39">
    <w:name w:val="样式 正文缩进d + 首行缩进:  2 字符 段前: 0.35 行"/>
    <w:basedOn w:val="10"/>
    <w:link w:val="38"/>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0">
    <w:name w:val="标题 1 Char"/>
    <w:basedOn w:val="29"/>
    <w:link w:val="2"/>
    <w:qFormat/>
    <w:uiPriority w:val="0"/>
    <w:rPr>
      <w:rFonts w:ascii="Arial" w:hAnsi="Arial" w:eastAsia="宋体"/>
      <w:sz w:val="28"/>
      <w:szCs w:val="22"/>
      <w:lang w:val="en-GB"/>
    </w:rPr>
  </w:style>
  <w:style w:type="character" w:customStyle="1" w:styleId="41">
    <w:name w:val="标题 4 Char"/>
    <w:basedOn w:val="29"/>
    <w:link w:val="5"/>
    <w:qFormat/>
    <w:uiPriority w:val="0"/>
    <w:rPr>
      <w:rFonts w:ascii="Times New Roman" w:hAnsi="Times New Roman" w:eastAsia="Times New Roman"/>
      <w:b/>
      <w:bCs/>
      <w:sz w:val="21"/>
      <w:szCs w:val="28"/>
      <w:lang w:val="en-GB" w:eastAsia="en-US"/>
    </w:rPr>
  </w:style>
  <w:style w:type="character" w:customStyle="1" w:styleId="42">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3">
    <w:name w:val="TH Char"/>
    <w:link w:val="44"/>
    <w:qFormat/>
    <w:uiPriority w:val="0"/>
    <w:rPr>
      <w:rFonts w:ascii="Arial" w:hAnsi="Arial" w:eastAsia="Times New Roman"/>
      <w:b/>
      <w:lang w:val="en-GB" w:eastAsia="en-GB"/>
    </w:rPr>
  </w:style>
  <w:style w:type="paragraph" w:customStyle="1" w:styleId="44">
    <w:name w:val="TH"/>
    <w:basedOn w:val="1"/>
    <w:link w:val="43"/>
    <w:qFormat/>
    <w:uiPriority w:val="0"/>
    <w:pPr>
      <w:keepNext/>
      <w:keepLines/>
      <w:spacing w:before="60"/>
      <w:jc w:val="center"/>
    </w:pPr>
    <w:rPr>
      <w:rFonts w:ascii="Arial" w:hAnsi="Arial"/>
      <w:b/>
      <w:lang w:eastAsia="en-GB"/>
    </w:rPr>
  </w:style>
  <w:style w:type="character" w:customStyle="1" w:styleId="45">
    <w:name w:val="标题 8 Char"/>
    <w:basedOn w:val="29"/>
    <w:link w:val="9"/>
    <w:qFormat/>
    <w:uiPriority w:val="0"/>
    <w:rPr>
      <w:rFonts w:ascii="Arial" w:hAnsi="Arial" w:eastAsia="宋体"/>
      <w:kern w:val="2"/>
      <w:sz w:val="21"/>
      <w:szCs w:val="24"/>
    </w:rPr>
  </w:style>
  <w:style w:type="character" w:customStyle="1" w:styleId="46">
    <w:name w:val="TAL Char"/>
    <w:basedOn w:val="29"/>
    <w:link w:val="47"/>
    <w:qFormat/>
    <w:uiPriority w:val="0"/>
    <w:rPr>
      <w:rFonts w:ascii="Arial" w:hAnsi="Arial"/>
      <w:sz w:val="18"/>
      <w:lang w:val="en-GB" w:eastAsia="ja-JP" w:bidi="ar-SA"/>
    </w:rPr>
  </w:style>
  <w:style w:type="paragraph" w:customStyle="1" w:styleId="47">
    <w:name w:val="TAL"/>
    <w:basedOn w:val="1"/>
    <w:link w:val="46"/>
    <w:qFormat/>
    <w:uiPriority w:val="0"/>
    <w:pPr>
      <w:keepNext/>
      <w:keepLines/>
      <w:spacing w:after="0"/>
    </w:pPr>
    <w:rPr>
      <w:rFonts w:ascii="Arial" w:hAnsi="Arial"/>
      <w:sz w:val="18"/>
      <w:lang w:eastAsia="ja-JP"/>
    </w:rPr>
  </w:style>
  <w:style w:type="character" w:customStyle="1" w:styleId="48">
    <w:name w:val="Text Car"/>
    <w:basedOn w:val="29"/>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0">
    <w:name w:val="页眉 Char"/>
    <w:basedOn w:val="29"/>
    <w:link w:val="21"/>
    <w:qFormat/>
    <w:uiPriority w:val="0"/>
    <w:rPr>
      <w:rFonts w:ascii="Arial" w:hAnsi="Arial" w:eastAsia="Times New Roman"/>
      <w:b/>
      <w:sz w:val="18"/>
      <w:lang w:val="en-US" w:eastAsia="en-US" w:bidi="ar-SA"/>
    </w:rPr>
  </w:style>
  <w:style w:type="character" w:customStyle="1" w:styleId="51">
    <w:name w:val="标题 9 Char"/>
    <w:basedOn w:val="29"/>
    <w:link w:val="11"/>
    <w:qFormat/>
    <w:uiPriority w:val="0"/>
    <w:rPr>
      <w:rFonts w:ascii="Arial" w:hAnsi="Arial" w:eastAsia="宋体"/>
      <w:kern w:val="2"/>
      <w:sz w:val="21"/>
      <w:szCs w:val="24"/>
    </w:rPr>
  </w:style>
  <w:style w:type="character" w:customStyle="1" w:styleId="52">
    <w:name w:val="Doc-title Char"/>
    <w:basedOn w:val="29"/>
    <w:link w:val="53"/>
    <w:qFormat/>
    <w:uiPriority w:val="0"/>
    <w:rPr>
      <w:rFonts w:ascii="Arial" w:hAnsi="Arial" w:eastAsia="MS Mincho"/>
      <w:szCs w:val="24"/>
      <w:lang w:val="en-GB" w:eastAsia="en-GB" w:bidi="ar-SA"/>
    </w:rPr>
  </w:style>
  <w:style w:type="paragraph" w:customStyle="1" w:styleId="53">
    <w:name w:val="Doc-title"/>
    <w:basedOn w:val="1"/>
    <w:next w:val="54"/>
    <w:link w:val="52"/>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4">
    <w:name w:val="Doc-text2"/>
    <w:basedOn w:val="1"/>
    <w:link w:val="57"/>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5">
    <w:name w:val="批注主题 Char"/>
    <w:basedOn w:val="42"/>
    <w:link w:val="26"/>
    <w:semiHidden/>
    <w:qFormat/>
    <w:uiPriority w:val="99"/>
    <w:rPr>
      <w:rFonts w:ascii="Times New Roman" w:hAnsi="Times New Roman" w:eastAsia="Times New Roman" w:cs="Times New Roman"/>
      <w:b/>
      <w:bCs/>
      <w:sz w:val="20"/>
      <w:szCs w:val="20"/>
      <w:lang w:val="en-GB"/>
    </w:rPr>
  </w:style>
  <w:style w:type="character" w:customStyle="1" w:styleId="56">
    <w:name w:val="页脚 Char"/>
    <w:basedOn w:val="29"/>
    <w:link w:val="20"/>
    <w:qFormat/>
    <w:uiPriority w:val="99"/>
    <w:rPr>
      <w:rFonts w:ascii="Times New Roman" w:hAnsi="Times New Roman" w:eastAsia="Times New Roman"/>
      <w:lang w:val="en-GB" w:eastAsia="en-US"/>
    </w:rPr>
  </w:style>
  <w:style w:type="character" w:customStyle="1" w:styleId="57">
    <w:name w:val="Doc-text2 Char"/>
    <w:basedOn w:val="29"/>
    <w:link w:val="54"/>
    <w:qFormat/>
    <w:uiPriority w:val="0"/>
    <w:rPr>
      <w:rFonts w:ascii="Arial" w:hAnsi="Arial" w:eastAsia="MS Mincho"/>
      <w:szCs w:val="24"/>
      <w:lang w:val="en-GB" w:eastAsia="en-GB" w:bidi="ar-SA"/>
    </w:rPr>
  </w:style>
  <w:style w:type="character" w:customStyle="1" w:styleId="58">
    <w:name w:val="B1 Char1"/>
    <w:basedOn w:val="29"/>
    <w:link w:val="59"/>
    <w:qFormat/>
    <w:uiPriority w:val="0"/>
    <w:rPr>
      <w:rFonts w:eastAsia="MS Mincho"/>
      <w:lang w:val="en-GB" w:eastAsia="en-US" w:bidi="ar-SA"/>
    </w:rPr>
  </w:style>
  <w:style w:type="paragraph" w:customStyle="1" w:styleId="59">
    <w:name w:val="B1"/>
    <w:basedOn w:val="23"/>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9"/>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9"/>
    <w:link w:val="63"/>
    <w:qFormat/>
    <w:uiPriority w:val="0"/>
    <w:rPr>
      <w:rFonts w:ascii="Arial" w:hAnsi="Arial"/>
      <w:b/>
      <w:sz w:val="18"/>
      <w:lang w:val="en-GB" w:eastAsia="ja-JP" w:bidi="ar-SA"/>
    </w:rPr>
  </w:style>
  <w:style w:type="paragraph" w:customStyle="1" w:styleId="63">
    <w:name w:val="TAH"/>
    <w:basedOn w:val="64"/>
    <w:link w:val="62"/>
    <w:qFormat/>
    <w:uiPriority w:val="0"/>
    <w:rPr>
      <w:b/>
    </w:rPr>
  </w:style>
  <w:style w:type="paragraph" w:customStyle="1" w:styleId="64">
    <w:name w:val="TAC"/>
    <w:basedOn w:val="47"/>
    <w:link w:val="74"/>
    <w:qFormat/>
    <w:uiPriority w:val="0"/>
    <w:pPr>
      <w:jc w:val="center"/>
    </w:pPr>
  </w:style>
  <w:style w:type="character" w:customStyle="1" w:styleId="65">
    <w:name w:val="msoins"/>
    <w:basedOn w:val="29"/>
    <w:qFormat/>
    <w:uiPriority w:val="0"/>
  </w:style>
  <w:style w:type="character" w:customStyle="1" w:styleId="66">
    <w:name w:val="B2 Char1"/>
    <w:basedOn w:val="42"/>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6"/>
    <w:link w:val="69"/>
    <w:qFormat/>
    <w:uiPriority w:val="0"/>
    <w:rPr>
      <w:rFonts w:ascii="Arial" w:hAnsi="Arial"/>
      <w:sz w:val="18"/>
      <w:lang w:val="en-GB" w:eastAsia="en-GB" w:bidi="ar-SA"/>
    </w:rPr>
  </w:style>
  <w:style w:type="paragraph" w:customStyle="1" w:styleId="69">
    <w:name w:val="TAL + Left:  1"/>
    <w:basedOn w:val="47"/>
    <w:link w:val="68"/>
    <w:qFormat/>
    <w:uiPriority w:val="0"/>
    <w:pPr>
      <w:ind w:left="567"/>
    </w:pPr>
    <w:rPr>
      <w:lang w:eastAsia="en-GB"/>
    </w:rPr>
  </w:style>
  <w:style w:type="character" w:customStyle="1" w:styleId="70">
    <w:name w:val="header odd Char"/>
    <w:basedOn w:val="29"/>
    <w:qFormat/>
    <w:uiPriority w:val="0"/>
    <w:rPr>
      <w:lang w:val="en-GB" w:eastAsia="en-US" w:bidi="ar-SA"/>
    </w:rPr>
  </w:style>
  <w:style w:type="character" w:customStyle="1" w:styleId="71">
    <w:name w:val="B1 Char"/>
    <w:basedOn w:val="29"/>
    <w:qFormat/>
    <w:uiPriority w:val="0"/>
    <w:rPr>
      <w:rFonts w:ascii="Times New Roman" w:hAnsi="Times New Roman"/>
      <w:lang w:val="en-GB" w:eastAsia="en-US"/>
    </w:rPr>
  </w:style>
  <w:style w:type="character" w:customStyle="1" w:styleId="72">
    <w:name w:val="PL Char"/>
    <w:basedOn w:val="29"/>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64"/>
    <w:qFormat/>
    <w:uiPriority w:val="0"/>
    <w:rPr>
      <w:rFonts w:ascii="Arial" w:hAnsi="Arial" w:eastAsia="Times New Roman"/>
      <w:sz w:val="18"/>
      <w:lang w:val="en-GB" w:eastAsia="ja-JP"/>
    </w:rPr>
  </w:style>
  <w:style w:type="character" w:customStyle="1" w:styleId="75">
    <w:name w:val="占位符文本1"/>
    <w:basedOn w:val="29"/>
    <w:semiHidden/>
    <w:qFormat/>
    <w:uiPriority w:val="99"/>
    <w:rPr>
      <w:color w:val="808080"/>
    </w:rPr>
  </w:style>
  <w:style w:type="character" w:customStyle="1" w:styleId="76">
    <w:name w:val="MTEquationSection"/>
    <w:basedOn w:val="29"/>
    <w:qFormat/>
    <w:uiPriority w:val="0"/>
    <w:rPr>
      <w:rFonts w:cs="Arial"/>
      <w:bCs/>
      <w:vanish/>
      <w:color w:val="FF0000"/>
      <w:sz w:val="28"/>
      <w:szCs w:val="28"/>
      <w:lang w:eastAsia="zh-CN"/>
    </w:rPr>
  </w:style>
  <w:style w:type="character" w:customStyle="1" w:styleId="77">
    <w:name w:val="MTDisplayEquation Char"/>
    <w:basedOn w:val="29"/>
    <w:link w:val="78"/>
    <w:qFormat/>
    <w:uiPriority w:val="0"/>
    <w:rPr>
      <w:rFonts w:ascii="Times New Roman" w:hAnsi="Times New Roman" w:eastAsia="宋体"/>
    </w:rPr>
  </w:style>
  <w:style w:type="paragraph" w:customStyle="1" w:styleId="78">
    <w:name w:val="MTDisplayEquation"/>
    <w:basedOn w:val="1"/>
    <w:next w:val="1"/>
    <w:link w:val="77"/>
    <w:qFormat/>
    <w:uiPriority w:val="0"/>
    <w:pPr>
      <w:tabs>
        <w:tab w:val="center" w:pos="4680"/>
        <w:tab w:val="right" w:pos="9360"/>
      </w:tabs>
    </w:pPr>
    <w:rPr>
      <w:rFonts w:eastAsia="宋体"/>
      <w:lang w:val="en-US" w:eastAsia="zh-CN"/>
    </w:rPr>
  </w:style>
  <w:style w:type="character" w:customStyle="1" w:styleId="79">
    <w:name w:val="apple-converted-space"/>
    <w:basedOn w:val="29"/>
    <w:qFormat/>
    <w:uiPriority w:val="0"/>
  </w:style>
  <w:style w:type="character" w:customStyle="1" w:styleId="80">
    <w:name w:val="列出段落 Char"/>
    <w:link w:val="81"/>
    <w:qFormat/>
    <w:uiPriority w:val="72"/>
    <w:rPr>
      <w:rFonts w:ascii="宋体" w:hAnsi="宋体" w:eastAsia="宋体" w:cs="宋体"/>
      <w:sz w:val="24"/>
      <w:szCs w:val="24"/>
    </w:rPr>
  </w:style>
  <w:style w:type="paragraph" w:customStyle="1" w:styleId="81">
    <w:name w:val="列出段落1"/>
    <w:basedOn w:val="1"/>
    <w:link w:val="80"/>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2">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3">
    <w:name w:val="Reference"/>
    <w:basedOn w:val="1"/>
    <w:qFormat/>
    <w:uiPriority w:val="0"/>
    <w:pPr>
      <w:tabs>
        <w:tab w:val="left" w:pos="420"/>
      </w:tabs>
      <w:ind w:left="420" w:right="-99" w:hanging="420"/>
    </w:pPr>
    <w:rPr>
      <w:rFonts w:eastAsia="MS Mincho"/>
      <w:sz w:val="22"/>
    </w:rPr>
  </w:style>
  <w:style w:type="paragraph" w:customStyle="1" w:styleId="84">
    <w:name w:val="CR Cover Page"/>
    <w:qFormat/>
    <w:uiPriority w:val="0"/>
    <w:pPr>
      <w:spacing w:after="120" w:line="276" w:lineRule="auto"/>
    </w:pPr>
    <w:rPr>
      <w:rFonts w:ascii="Arial" w:hAnsi="Arial" w:eastAsia="MS Mincho" w:cs="Times New Roman"/>
      <w:lang w:val="en-GB" w:eastAsia="en-US" w:bidi="ar-SA"/>
    </w:rPr>
  </w:style>
  <w:style w:type="paragraph" w:customStyle="1" w:styleId="85">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6">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7">
    <w:name w:val="EQ"/>
    <w:basedOn w:val="1"/>
    <w:next w:val="1"/>
    <w:qFormat/>
    <w:uiPriority w:val="0"/>
    <w:pPr>
      <w:keepLines/>
      <w:tabs>
        <w:tab w:val="center" w:pos="4536"/>
        <w:tab w:val="right" w:pos="9072"/>
      </w:tabs>
    </w:pPr>
    <w:rPr>
      <w:lang w:val="en-US" w:eastAsia="en-GB"/>
    </w:rPr>
  </w:style>
  <w:style w:type="paragraph" w:customStyle="1" w:styleId="88">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9">
    <w:name w:val="List Paragraph1"/>
    <w:basedOn w:val="1"/>
    <w:qFormat/>
    <w:uiPriority w:val="34"/>
    <w:pPr>
      <w:ind w:left="720"/>
      <w:contextualSpacing/>
    </w:pPr>
  </w:style>
  <w:style w:type="paragraph" w:customStyle="1" w:styleId="90">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1">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2">
    <w:name w:val="Observation"/>
    <w:basedOn w:val="1"/>
    <w:qFormat/>
    <w:uiPriority w:val="0"/>
    <w:pPr>
      <w:tabs>
        <w:tab w:val="left" w:pos="1701"/>
      </w:tabs>
      <w:ind w:left="360" w:hanging="360"/>
    </w:pPr>
    <w:rPr>
      <w:rFonts w:ascii="Arial" w:hAnsi="Arial" w:eastAsia="宋体"/>
      <w:b/>
      <w:bCs/>
      <w:lang w:eastAsia="zh-CN"/>
    </w:rPr>
  </w:style>
  <w:style w:type="paragraph" w:customStyle="1" w:styleId="93">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4">
    <w:name w:val="TAL + Left: 1"/>
    <w:basedOn w:val="47"/>
    <w:qFormat/>
    <w:uiPriority w:val="0"/>
    <w:pPr>
      <w:ind w:left="567"/>
    </w:pPr>
    <w:rPr>
      <w:lang w:eastAsia="en-US"/>
    </w:rPr>
  </w:style>
  <w:style w:type="paragraph" w:customStyle="1" w:styleId="95">
    <w:name w:val="TF"/>
    <w:basedOn w:val="44"/>
    <w:qFormat/>
    <w:uiPriority w:val="0"/>
    <w:pPr>
      <w:keepNext w:val="0"/>
      <w:spacing w:before="0" w:after="240"/>
    </w:pPr>
  </w:style>
  <w:style w:type="paragraph" w:customStyle="1" w:styleId="96">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7">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8">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99">
    <w:name w:val="正文文本 Char"/>
    <w:basedOn w:val="29"/>
    <w:link w:val="15"/>
    <w:qFormat/>
    <w:uiPriority w:val="0"/>
    <w:rPr>
      <w:rFonts w:eastAsia="MS Mincho"/>
      <w:lang w:val="en-GB" w:eastAsia="en-US"/>
    </w:rPr>
  </w:style>
  <w:style w:type="paragraph" w:customStyle="1" w:styleId="100">
    <w:name w:val="List Paragraph2"/>
    <w:basedOn w:val="1"/>
    <w:qFormat/>
    <w:uiPriority w:val="99"/>
    <w:pPr>
      <w:ind w:firstLine="420" w:firstLineChars="200"/>
    </w:pPr>
  </w:style>
  <w:style w:type="paragraph" w:customStyle="1" w:styleId="101">
    <w:name w:val="列出段落2"/>
    <w:basedOn w:val="1"/>
    <w:unhideWhenUsed/>
    <w:qFormat/>
    <w:uiPriority w:val="99"/>
    <w:pPr>
      <w:ind w:left="720"/>
      <w:contextualSpacing/>
    </w:pPr>
  </w:style>
  <w:style w:type="paragraph" w:customStyle="1" w:styleId="102">
    <w:name w:val="列出段落3"/>
    <w:basedOn w:val="1"/>
    <w:qFormat/>
    <w:uiPriority w:val="99"/>
    <w:pPr>
      <w:ind w:firstLine="420" w:firstLineChars="200"/>
    </w:pPr>
  </w:style>
  <w:style w:type="paragraph" w:customStyle="1" w:styleId="103">
    <w:name w:val="列出段落4"/>
    <w:basedOn w:val="1"/>
    <w:qFormat/>
    <w:uiPriority w:val="34"/>
    <w:pPr>
      <w:ind w:firstLine="420" w:firstLineChars="200"/>
    </w:pPr>
  </w:style>
  <w:style w:type="paragraph" w:customStyle="1" w:styleId="104">
    <w:name w:val="列出段落5"/>
    <w:basedOn w:val="1"/>
    <w:qFormat/>
    <w:uiPriority w:val="99"/>
    <w:pPr>
      <w:ind w:firstLine="420" w:firstLineChars="200"/>
    </w:pPr>
  </w:style>
  <w:style w:type="paragraph" w:customStyle="1" w:styleId="105">
    <w:name w:val="References"/>
    <w:basedOn w:val="1"/>
    <w:qFormat/>
    <w:uiPriority w:val="0"/>
    <w:pPr>
      <w:numPr>
        <w:ilvl w:val="0"/>
        <w:numId w:val="2"/>
      </w:numPr>
      <w:overflowPunct/>
      <w:adjustRightInd/>
      <w:spacing w:after="60"/>
      <w:textAlignment w:val="auto"/>
    </w:pPr>
    <w:rPr>
      <w:rFonts w:eastAsia="宋体"/>
      <w:szCs w:val="16"/>
      <w:lang w:val="en-US"/>
    </w:rPr>
  </w:style>
  <w:style w:type="paragraph" w:customStyle="1" w:styleId="106">
    <w:name w:val="Comments"/>
    <w:basedOn w:val="1"/>
    <w:qFormat/>
    <w:uiPriority w:val="0"/>
    <w:pPr>
      <w:widowControl w:val="0"/>
      <w:overflowPunct/>
      <w:autoSpaceDE/>
      <w:autoSpaceDN/>
      <w:adjustRightInd/>
      <w:spacing w:before="40" w:after="100" w:afterAutospacing="1"/>
      <w:textAlignment w:val="auto"/>
    </w:pPr>
    <w:rPr>
      <w:rFonts w:ascii="Arial" w:hAnsi="Arial" w:eastAsia="MS Mincho"/>
      <w:i/>
      <w:iCs/>
      <w:kern w:val="2"/>
      <w:sz w:val="18"/>
      <w:szCs w:val="18"/>
      <w:lang w:val="en-US" w:eastAsia="zh-CN"/>
    </w:rPr>
  </w:style>
  <w:style w:type="paragraph" w:customStyle="1" w:styleId="107">
    <w:name w:val="列出段落6"/>
    <w:basedOn w:val="1"/>
    <w:qFormat/>
    <w:uiPriority w:val="34"/>
    <w:pPr>
      <w:ind w:left="840" w:leftChars="400"/>
    </w:pPr>
  </w:style>
  <w:style w:type="paragraph" w:customStyle="1" w:styleId="108">
    <w:name w:val="列出段落7"/>
    <w:basedOn w:val="1"/>
    <w:unhideWhenUsed/>
    <w:qFormat/>
    <w:uiPriority w:val="99"/>
    <w:pPr>
      <w:ind w:firstLine="420" w:firstLineChars="200"/>
    </w:pPr>
  </w:style>
  <w:style w:type="paragraph" w:styleId="109">
    <w:name w:val="List Paragraph"/>
    <w:basedOn w:val="1"/>
    <w:link w:val="111"/>
    <w:qFormat/>
    <w:uiPriority w:val="34"/>
    <w:pPr>
      <w:ind w:firstLine="420" w:firstLineChars="200"/>
    </w:pPr>
  </w:style>
  <w:style w:type="paragraph" w:customStyle="1" w:styleId="110">
    <w:name w:val="修订2"/>
    <w:hidden/>
    <w:semiHidden/>
    <w:qFormat/>
    <w:uiPriority w:val="99"/>
    <w:rPr>
      <w:rFonts w:ascii="Times New Roman" w:hAnsi="Times New Roman" w:eastAsia="Times New Roman" w:cs="Times New Roman"/>
      <w:lang w:val="en-GB" w:eastAsia="en-US" w:bidi="ar-SA"/>
    </w:rPr>
  </w:style>
  <w:style w:type="character" w:customStyle="1" w:styleId="111">
    <w:name w:val="列出段落 Char1"/>
    <w:link w:val="109"/>
    <w:qFormat/>
    <w:uiPriority w:val="34"/>
    <w:rPr>
      <w:rFonts w:eastAsia="Times New Roman"/>
      <w:lang w:val="en-GB" w:eastAsia="en-US"/>
    </w:rPr>
  </w:style>
  <w:style w:type="character" w:customStyle="1" w:styleId="112">
    <w:name w:val="TAH Car"/>
    <w:qFormat/>
    <w:uiPriority w:val="0"/>
    <w:rPr>
      <w:rFonts w:ascii="Arial" w:hAnsi="Arial"/>
      <w:b/>
      <w:sz w:val="18"/>
      <w:lang w:val="en-GB" w:eastAsia="en-US"/>
    </w:rPr>
  </w:style>
  <w:style w:type="character" w:customStyle="1" w:styleId="113">
    <w:name w:val="B1 Zchn"/>
    <w:qFormat/>
    <w:uiPriority w:val="0"/>
    <w:rPr>
      <w:lang w:eastAsia="en-US"/>
    </w:rPr>
  </w:style>
  <w:style w:type="paragraph" w:customStyle="1" w:styleId="114">
    <w:name w:val="x_msonormal"/>
    <w:basedOn w:val="1"/>
    <w:qFormat/>
    <w:uiPriority w:val="0"/>
    <w:rPr>
      <w:rFonts w:ascii="Calibri" w:hAnsi="Calibri" w:eastAsia="Calibri" w:cs="Calibri"/>
      <w:sz w:val="22"/>
      <w:szCs w:val="22"/>
    </w:rPr>
  </w:style>
  <w:style w:type="paragraph" w:customStyle="1" w:styleId="115">
    <w:name w:val="x_msolistparagraph"/>
    <w:basedOn w:val="1"/>
    <w:qFormat/>
    <w:uiPriority w:val="0"/>
    <w:pPr>
      <w:ind w:left="840"/>
    </w:pPr>
    <w:rPr>
      <w:rFonts w:ascii="Times" w:hAnsi="Times" w:eastAsia="Calibri" w:cs="Time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EFE78E-10EB-4E77-A655-6A8E7799528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28</Pages>
  <Words>9089</Words>
  <Characters>51810</Characters>
  <Lines>431</Lines>
  <Paragraphs>121</Paragraphs>
  <TotalTime>0</TotalTime>
  <ScaleCrop>false</ScaleCrop>
  <LinksUpToDate>false</LinksUpToDate>
  <CharactersWithSpaces>60778</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2019-04-01T16:44:00Z</dcterms:created>
  <dc:creator>ZTE</dc:creator>
  <cp:lastModifiedBy>ZTE</cp:lastModifiedBy>
  <cp:lastPrinted>2011-10-28T07:16:00Z</cp:lastPrinted>
  <dcterms:modified xsi:type="dcterms:W3CDTF">2020-08-07T15:48:28Z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